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the</w:t>
      </w:r>
      <w:r>
        <w:t xml:space="preserve"> </w:t>
      </w:r>
      <w:r>
        <w:t xml:space="preserve">impact</w:t>
      </w:r>
      <w:r>
        <w:t xml:space="preserve"> </w:t>
      </w:r>
      <w:r>
        <w:t xml:space="preserve">of</w:t>
      </w:r>
      <w:r>
        <w:t xml:space="preserve"> </w:t>
      </w:r>
      <w:r>
        <w:t xml:space="preserve">health,</w:t>
      </w:r>
      <w:r>
        <w:t xml:space="preserve"> </w:t>
      </w:r>
      <w:r>
        <w:t xml:space="preserve">qualifications</w:t>
      </w:r>
      <w:r>
        <w:t xml:space="preserve"> </w:t>
      </w:r>
      <w:r>
        <w:t xml:space="preserve">and</w:t>
      </w:r>
      <w:r>
        <w:t xml:space="preserve"> </w:t>
      </w:r>
      <w:r>
        <w:t xml:space="preserve">wages</w:t>
      </w:r>
      <w:r>
        <w:t xml:space="preserve"> </w:t>
      </w:r>
      <w:r>
        <w:t xml:space="preserve">on</w:t>
      </w:r>
      <w:r>
        <w:t xml:space="preserve"> </w:t>
      </w:r>
      <w:r>
        <w:t xml:space="preserve">economic</w:t>
      </w:r>
      <w:r>
        <w:t xml:space="preserve"> </w:t>
      </w:r>
      <w:r>
        <w:t xml:space="preserve">inactivity</w:t>
      </w:r>
    </w:p>
    <w:p>
      <w:pPr>
        <w:pStyle w:val="Author"/>
      </w:pPr>
      <w:r>
        <w:t xml:space="preserve">Jon</w:t>
      </w:r>
      <w:r>
        <w:t xml:space="preserve"> </w:t>
      </w:r>
      <w:r>
        <w:t xml:space="preserve">Minton</w:t>
      </w:r>
    </w:p>
    <w:p>
      <w:pPr>
        <w:pStyle w:val="Author"/>
      </w:pPr>
      <w:r>
        <w:t xml:space="preserve">Martin</w:t>
      </w:r>
      <w:r>
        <w:t xml:space="preserve"> </w:t>
      </w:r>
      <w:r>
        <w:t xml:space="preserve">Taulbut</w:t>
      </w:r>
    </w:p>
    <w:p>
      <w:pPr>
        <w:pStyle w:val="Author"/>
      </w:pPr>
      <w:r>
        <w:t xml:space="preserve">Neil</w:t>
      </w:r>
      <w:r>
        <w:t xml:space="preserve"> </w:t>
      </w:r>
      <w:r>
        <w:t xml:space="preserve">Chalmers</w:t>
      </w:r>
    </w:p>
    <w:p>
      <w:pPr>
        <w:pStyle w:val="Author"/>
      </w:pPr>
      <w:r>
        <w:t xml:space="preserve">Debs</w:t>
      </w:r>
      <w:r>
        <w:t xml:space="preserve"> </w:t>
      </w:r>
      <w:r>
        <w:t xml:space="preserve">Shipton</w:t>
      </w:r>
    </w:p>
    <w:bookmarkStart w:id="20" w:name="abstract"/>
    <w:p>
      <w:pPr>
        <w:pStyle w:val="Heading1"/>
      </w:pPr>
      <w:r>
        <w:t xml:space="preserve">Abstract</w:t>
      </w:r>
    </w:p>
    <w:p>
      <w:pPr>
        <w:pStyle w:val="FirstParagraph"/>
      </w:pPr>
      <w:r>
        <w:rPr>
          <w:bCs/>
          <w:b/>
        </w:rPr>
        <w:t xml:space="preserve">Introduction</w:t>
      </w:r>
      <w:r>
        <w:t xml:space="preserve"> </w:t>
      </w:r>
      <w:r>
        <w:t xml:space="preserve">The UK has comparatively high rates of working age economic inactivity (EI) due to poor health.</w:t>
      </w:r>
    </w:p>
    <w:p>
      <w:pPr>
        <w:pStyle w:val="BodyText"/>
      </w:pPr>
      <w:r>
        <w:rPr>
          <w:bCs/>
          <w:b/>
        </w:rPr>
        <w:t xml:space="preserve">Methods</w:t>
      </w:r>
      <w:r>
        <w:t xml:space="preserve"> </w:t>
      </w:r>
      <w:r>
        <w:t xml:space="preserve">This paper uses a novel modelling framework, and data from the UKHLS, to estimate how much of this health-related EI (HREI) may be</w:t>
      </w:r>
      <w:r>
        <w:t xml:space="preserve"> </w:t>
      </w:r>
      <w:r>
        <w:t xml:space="preserve">‘</w:t>
      </w:r>
      <w:r>
        <w:t xml:space="preserve">due to</w:t>
      </w:r>
      <w:r>
        <w:t xml:space="preserve">’</w:t>
      </w:r>
      <w:r>
        <w:t xml:space="preserve"> </w:t>
      </w:r>
      <w:r>
        <w:t xml:space="preserve">i) poor general health directly, or due to two types of socioeconomic driver of health and inactivity: ii) low qualifications; and iii) low wages.</w:t>
      </w:r>
    </w:p>
    <w:p>
      <w:pPr>
        <w:pStyle w:val="BodyText"/>
      </w:pPr>
      <w:r>
        <w:rPr>
          <w:bCs/>
          <w:b/>
        </w:rPr>
        <w:t xml:space="preserve">Findings</w:t>
      </w:r>
      <w:r>
        <w:t xml:space="preserve"> </w:t>
      </w:r>
      <w:r>
        <w:t xml:space="preserve">Considering each driver independently, poor general health may explain up to</w:t>
      </w:r>
      <w:r>
        <w:t xml:space="preserve"> </w:t>
      </w:r>
      <w:r>
        <w:t xml:space="preserve">UNKNOWN%</w:t>
      </w:r>
      <w:r>
        <w:t xml:space="preserve"> </w:t>
      </w:r>
      <w:r>
        <w:t xml:space="preserve">of HREI, whereas low wages may explain up to</w:t>
      </w:r>
      <w:r>
        <w:t xml:space="preserve"> </w:t>
      </w:r>
      <w:r>
        <w:t xml:space="preserve">UNKNOWN%</w:t>
      </w:r>
      <w:r>
        <w:t xml:space="preserve">, and low qualifications may explain up to</w:t>
      </w:r>
      <w:r>
        <w:t xml:space="preserve"> </w:t>
      </w:r>
      <w:r>
        <w:t xml:space="preserve">UNKNOWN%</w:t>
      </w:r>
      <w:r>
        <w:t xml:space="preserve">.</w:t>
      </w:r>
    </w:p>
    <w:p>
      <w:pPr>
        <w:pStyle w:val="BodyText"/>
      </w:pPr>
      <w:r>
        <w:rPr>
          <w:bCs/>
          <w:b/>
        </w:rPr>
        <w:t xml:space="preserve">Discussion</w:t>
      </w:r>
      <w:r>
        <w:t xml:space="preserve"> </w:t>
      </w:r>
      <w:r>
        <w:t xml:space="preserve">Write something insightful here</w:t>
      </w:r>
    </w:p>
    <w:bookmarkEnd w:id="20"/>
    <w:bookmarkStart w:id="21" w:name="notestodos"/>
    <w:p>
      <w:pPr>
        <w:pStyle w:val="Heading1"/>
      </w:pPr>
      <w:r>
        <w:t xml:space="preserve">Notes/Todos</w:t>
      </w:r>
    </w:p>
    <w:p>
      <w:pPr>
        <w:numPr>
          <w:ilvl w:val="0"/>
          <w:numId w:val="1001"/>
        </w:numPr>
        <w:pStyle w:val="Compact"/>
      </w:pPr>
      <w:r>
        <w:t xml:space="preserve">☒ Adapt health code and run</w:t>
      </w:r>
    </w:p>
    <w:p>
      <w:pPr>
        <w:numPr>
          <w:ilvl w:val="0"/>
          <w:numId w:val="1001"/>
        </w:numPr>
        <w:pStyle w:val="Compact"/>
      </w:pPr>
      <w:r>
        <w:t xml:space="preserve">☐ Adapt quals code and run</w:t>
      </w:r>
    </w:p>
    <w:p>
      <w:pPr>
        <w:numPr>
          <w:ilvl w:val="0"/>
          <w:numId w:val="1001"/>
        </w:numPr>
        <w:pStyle w:val="Compact"/>
      </w:pPr>
      <w:r>
        <w:t xml:space="preserve">☐ Create wages code and run</w:t>
      </w:r>
    </w:p>
    <w:p>
      <w:pPr>
        <w:numPr>
          <w:ilvl w:val="1"/>
          <w:numId w:val="1002"/>
        </w:numPr>
        <w:pStyle w:val="Compact"/>
      </w:pPr>
      <w:r>
        <w:t xml:space="preserve">☐ Adapt hhincome code</w:t>
      </w:r>
    </w:p>
    <w:bookmarkEnd w:id="21"/>
    <w:bookmarkStart w:id="22" w:name="key-findingscontributions"/>
    <w:p>
      <w:pPr>
        <w:pStyle w:val="Heading1"/>
      </w:pPr>
      <w:r>
        <w:t xml:space="preserve">Key Findings/Contributions</w:t>
      </w:r>
    </w:p>
    <w:bookmarkEnd w:id="22"/>
    <w:bookmarkStart w:id="23" w:name="introduction"/>
    <w:p>
      <w:pPr>
        <w:pStyle w:val="Heading1"/>
      </w:pPr>
      <w:r>
        <w:t xml:space="preserve">Introduction</w:t>
      </w:r>
    </w:p>
    <w:p>
      <w:pPr>
        <w:pStyle w:val="FirstParagraph"/>
      </w:pPr>
      <w:r>
        <w:t xml:space="preserve">For working-age people, being employed or retired is associated with relatively good health, while being unemployment and long-term sickness) are associated with relatively poor health. Other economic states occupy an intermediate position. There is evidence to say that good quality work (e.g. insecure, high job-strain) is beneficial for health. There is also evidence that unemployment itself increases the risk of poor health (especially poor mental health) and premature mortality, rather than bad health being part of a broader selection effect.</w:t>
      </w:r>
    </w:p>
    <w:p>
      <w:pPr>
        <w:pStyle w:val="BodyText"/>
      </w:pPr>
      <w:r>
        <w:t xml:space="preserve">From a policy perspective, there has been long-standing interest in increasing the share of the population in paid employment, and lowering the porportion who are unemployed, long-term sick and looking after home and family. Measures to achieve this have usually focused on moving people out of the detrimental states, rather than preventing them moving into them in the first place. They have tended to focus on the sub-groups of the population in these states and claiming out-of-work benefits.  The policy mix has included public employment support, increased conditionality (including sanctions and changes to benefit eligibility) as well as increasing the financial support for working. In addition, some policies have provided financial help to meet the costs of working (e.g. childcare, Access to Work). While the overall approach has moved some people into work, it also appears to have pushed others into long-term sickness and other forms of economic inactivity.  </w:t>
      </w:r>
    </w:p>
    <w:p>
      <w:pPr>
        <w:pStyle w:val="BodyText"/>
      </w:pPr>
      <w:r>
        <w:t xml:space="preserve">The ability to account for the differences between reservation wages (lowest wage one will accept for working) and the prevailing market wage effects on labour market supply were studied by</w:t>
      </w:r>
      <w:r>
        <w:t xml:space="preserve"> </w:t>
      </w:r>
      <w:r>
        <w:t xml:space="preserve">Brown, Roberts, and Taylor (2010)</w:t>
      </w:r>
      <w:r>
        <w:t xml:space="preserve"> </w:t>
      </w:r>
      <w:r>
        <w:t xml:space="preserve">who found "</w:t>
      </w:r>
      <w:r>
        <w:rPr>
          <w:iCs/>
          <w:i/>
        </w:rPr>
        <w:t xml:space="preserve">no evidence for the argument that those with health problems will have higher reservation wages</w:t>
      </w:r>
      <w:r>
        <w:t xml:space="preserve">". This is an important result as Brown et al (2010) describe how poor health therefore effectively weakens labour market participation in contrast with some studies which found that poor health increased the reservation wage. However, it should be noted that sub group analysis were not performed in the aforementioned paper which used the 1991 – 2004 British Household Panel Survey (BHPS).</w:t>
      </w:r>
    </w:p>
    <w:p>
      <w:pPr>
        <w:pStyle w:val="BodyText"/>
      </w:pPr>
      <w:r>
        <w:t xml:space="preserve">A further area of interest is the effect of gender on labour market participation.</w:t>
      </w:r>
    </w:p>
    <w:p>
      <w:pPr>
        <w:pStyle w:val="BodyText"/>
      </w:pPr>
      <w:r>
        <w:t xml:space="preserve"> Verdugo et al (2020)</w:t>
      </w:r>
      <w:hyperlink w:anchor="X424ae1dfb199fdaa161d17bdce77f94503db3d6">
        <w:r>
          <w:rPr>
            <w:rStyle w:val="Hyperlink"/>
            <w:vertAlign w:val="superscript"/>
          </w:rPr>
          <w:t xml:space="preserve">[2]</w:t>
        </w:r>
      </w:hyperlink>
      <w:r>
        <w:t xml:space="preserve"> </w:t>
      </w:r>
      <w:r>
        <w:t xml:space="preserve">studied 10 countries (including the UK) and how the Great recession of 2007 impacted participation in the labour markets with countries such as UK showing that female participation increased</w:t>
      </w:r>
    </w:p>
    <w:p>
      <w:pPr>
        <w:pStyle w:val="BodyText"/>
      </w:pPr>
      <w:hyperlink w:anchor="Xf4c8113f07524640efcbf4d5822e1fc633a9e60">
        <w:r>
          <w:rPr>
            <w:rStyle w:val="Hyperlink"/>
          </w:rPr>
          <w:t xml:space="preserve">[1]</w:t>
        </w:r>
      </w:hyperlink>
      <w:r>
        <w:t xml:space="preserve"> </w:t>
      </w:r>
      <w:r>
        <w:t xml:space="preserve">Brown, S., Roberts, J. and Taylor, K., 2010. Reservation wages, labour market participation and health. </w:t>
      </w:r>
      <w:r>
        <w:rPr>
          <w:iCs/>
          <w:i/>
        </w:rPr>
        <w:t xml:space="preserve">Journal of the Royal Statistical Society Series A: Statistics in Society</w:t>
      </w:r>
      <w:r>
        <w:t xml:space="preserve">, </w:t>
      </w:r>
      <w:r>
        <w:rPr>
          <w:iCs/>
          <w:i/>
        </w:rPr>
        <w:t xml:space="preserve">173</w:t>
      </w:r>
      <w:r>
        <w:t xml:space="preserve">(3), pp.501-529.</w:t>
      </w:r>
    </w:p>
    <w:p>
      <w:pPr>
        <w:pStyle w:val="BodyText"/>
      </w:pPr>
      <w:hyperlink w:anchor="X6ae359e89ea24432127ac5e463063b1e05d509f">
        <w:r>
          <w:rPr>
            <w:rStyle w:val="Hyperlink"/>
          </w:rPr>
          <w:t xml:space="preserve">[2]</w:t>
        </w:r>
      </w:hyperlink>
      <w:r>
        <w:t xml:space="preserve"> </w:t>
      </w:r>
      <w:r>
        <w:t xml:space="preserve">Verdugo, G. and Allègre, G., 2020. Labour force participation and job polarization: Evidence from Europe during the Great Recession. </w:t>
      </w:r>
      <w:r>
        <w:rPr>
          <w:iCs/>
          <w:i/>
        </w:rPr>
        <w:t xml:space="preserve">Labour Economics</w:t>
      </w:r>
      <w:r>
        <w:t xml:space="preserve">, </w:t>
      </w:r>
      <w:r>
        <w:rPr>
          <w:iCs/>
          <w:i/>
        </w:rPr>
        <w:t xml:space="preserve">66</w:t>
      </w:r>
      <w:r>
        <w:t xml:space="preserve">, p.101881.</w:t>
      </w:r>
    </w:p>
    <w:bookmarkEnd w:id="23"/>
    <w:bookmarkStart w:id="29" w:name="methods"/>
    <w:p>
      <w:pPr>
        <w:pStyle w:val="Heading1"/>
      </w:pPr>
      <w:r>
        <w:t xml:space="preserve">Methods</w:t>
      </w:r>
    </w:p>
    <w:bookmarkStart w:id="24" w:name="the-data"/>
    <w:p>
      <w:pPr>
        <w:pStyle w:val="Heading2"/>
      </w:pPr>
      <w:r>
        <w:t xml:space="preserve">The data</w:t>
      </w:r>
    </w:p>
    <w:p>
      <w:pPr>
        <w:pStyle w:val="FirstParagraph"/>
      </w:pPr>
      <w:r>
        <w:t xml:space="preserve">The data used to fit the models are all valid observations from wave a to j of the UKHLS. By valid we mean all predictor and response variables are included.</w:t>
      </w:r>
    </w:p>
    <w:bookmarkEnd w:id="24"/>
    <w:bookmarkStart w:id="25" w:name="the-model"/>
    <w:p>
      <w:pPr>
        <w:pStyle w:val="Heading2"/>
      </w:pPr>
      <w:r>
        <w:t xml:space="preserve">The model</w:t>
      </w:r>
    </w:p>
    <w:p>
      <w:pPr>
        <w:pStyle w:val="FirstParagraph"/>
      </w:pPr>
      <w:r>
        <w:t xml:space="preserve">The model uses multinomial logistic regression to predict the economic (in)activity state in the next time period (approximately one year) based on the economic activity state in the current time period, the individual’s age, sex, and those specific drivers of interest.</w:t>
      </w:r>
    </w:p>
    <w:bookmarkEnd w:id="25"/>
    <w:bookmarkStart w:id="26" w:name="foundational-model"/>
    <w:p>
      <w:pPr>
        <w:pStyle w:val="Heading2"/>
      </w:pPr>
      <w:r>
        <w:t xml:space="preserve">Foundational Model</w:t>
      </w:r>
    </w:p>
    <w:p>
      <w:pPr>
        <w:pStyle w:val="FirstParagraph"/>
      </w:pPr>
      <w:r>
        <w:t xml:space="preserve">The foundational model specification aims to adequately control for the effects that age, current state and sex have on transition probabilities between states. To recap, we know the following:</w:t>
      </w:r>
    </w:p>
    <w:p>
      <w:pPr>
        <w:numPr>
          <w:ilvl w:val="0"/>
          <w:numId w:val="1003"/>
        </w:numPr>
        <w:pStyle w:val="Compact"/>
      </w:pPr>
      <w:r>
        <w:t xml:space="preserve">That state at time T influences state at time T+1, including that there is path dependence.</w:t>
      </w:r>
    </w:p>
    <w:p>
      <w:pPr>
        <w:numPr>
          <w:ilvl w:val="0"/>
          <w:numId w:val="1003"/>
        </w:numPr>
        <w:pStyle w:val="Compact"/>
      </w:pPr>
      <w:r>
        <w:t xml:space="preserve">That transition propensities between states vary systematically by sex (in particular regarding the long-term carer state)</w:t>
      </w:r>
    </w:p>
    <w:p>
      <w:pPr>
        <w:numPr>
          <w:ilvl w:val="0"/>
          <w:numId w:val="1003"/>
        </w:numPr>
        <w:pStyle w:val="Compact"/>
      </w:pPr>
      <w:r>
        <w:t xml:space="preserve">That transitions between states vary by age, but in different ways for different states, and in ways that aren’t linear with age.</w:t>
      </w:r>
    </w:p>
    <w:p>
      <w:pPr>
        <w:pStyle w:val="FirstParagraph"/>
      </w:pPr>
      <w:r>
        <w:t xml:space="preserve">The foundational model specification operationalises the above knowledge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e>
          </m:d>
        </m:oMath>
      </m:oMathPara>
    </w:p>
    <w:p>
      <w:pPr>
        <w:pStyle w:val="FirstParagraph"/>
      </w:pPr>
      <w:r>
        <w:t xml:space="preserve">i.e. that next state</w:t>
      </w:r>
      <w:r>
        <w:t xml:space="preserve"> </w:t>
      </w:r>
      <m:oMath>
        <m:sSub>
          <m:e>
            <m:r>
              <m:t>S</m:t>
            </m:r>
          </m:e>
          <m:sub>
            <m:r>
              <m:t>T</m:t>
            </m:r>
            <m:r>
              <m:rPr>
                <m:sty m:val="p"/>
              </m:rPr>
              <m:t>+</m:t>
            </m:r>
            <m:r>
              <m:t>1</m:t>
            </m:r>
          </m:sub>
        </m:sSub>
      </m:oMath>
      <w:r>
        <w:t xml:space="preserve"> </w:t>
      </w:r>
      <w:r>
        <w:t xml:space="preserve">is predicted on the current state</w:t>
      </w:r>
      <w:r>
        <w:t xml:space="preserve"> </w:t>
      </w:r>
      <m:oMath>
        <m:sSub>
          <m:e>
            <m:r>
              <m:t>S</m:t>
            </m:r>
          </m:e>
          <m:sub>
            <m:r>
              <m:t>T</m:t>
            </m:r>
          </m:sub>
        </m:sSub>
      </m:oMath>
      <w:r>
        <w:t xml:space="preserve">, sex (the</w:t>
      </w:r>
      <w:r>
        <w:t xml:space="preserve"> </w:t>
      </w:r>
      <m:oMath>
        <m:r>
          <m:t>m</m:t>
        </m:r>
        <m:r>
          <m:t>a</m:t>
        </m:r>
        <m:r>
          <m:t>l</m:t>
        </m:r>
        <m:r>
          <m:t>e</m:t>
        </m:r>
      </m:oMath>
      <w:r>
        <w:t xml:space="preserve"> </w:t>
      </w:r>
      <w:r>
        <w:t xml:space="preserve">term so female is the reference category), the interaction of current state and sex</w:t>
      </w:r>
      <w:r>
        <w:t xml:space="preserve"> </w:t>
      </w:r>
      <m:oMath>
        <m:sSub>
          <m:e>
            <m:r>
              <m:t>S</m:t>
            </m:r>
          </m:e>
          <m:sub>
            <m:r>
              <m:t>T</m:t>
            </m:r>
          </m:sub>
        </m:sSub>
        <m:r>
          <m:rPr>
            <m:sty m:val="p"/>
          </m:rPr>
          <m:t>*</m:t>
        </m:r>
        <m:r>
          <m:t>m</m:t>
        </m:r>
        <m:r>
          <m:t>a</m:t>
        </m:r>
        <m:r>
          <m:t>l</m:t>
        </m:r>
        <m:r>
          <m:t>e</m:t>
        </m:r>
      </m:oMath>
      <w:r>
        <w:t xml:space="preserve"> </w:t>
      </w:r>
      <w:r>
        <w:t xml:space="preserve">, and a flexible function of age</w:t>
      </w:r>
      <w:r>
        <w:t xml:space="preserve"> </w:t>
      </w:r>
      <m:oMath>
        <m:r>
          <m:t>b</m:t>
        </m:r>
        <m:r>
          <m:t>s</m:t>
        </m:r>
        <m:r>
          <m:t>p</m:t>
        </m:r>
        <m:r>
          <m:t>l</m:t>
        </m:r>
        <m:r>
          <m:t>i</m:t>
        </m:r>
        <m:r>
          <m:t>n</m:t>
        </m:r>
        <m:r>
          <m:t>e</m:t>
        </m:r>
        <m:d>
          <m:dPr>
            <m:begChr m:val="("/>
            <m:endChr m:val=")"/>
            <m:sepChr m:val=""/>
            <m:grow/>
          </m:dPr>
          <m:e>
            <m:r>
              <m:t>x</m:t>
            </m:r>
            <m:r>
              <m:rPr>
                <m:sty m:val="p"/>
              </m:rPr>
              <m:t>,</m:t>
            </m:r>
            <m:r>
              <m:t>5</m:t>
            </m:r>
          </m:e>
        </m:d>
      </m:oMath>
      <w:r>
        <w:t xml:space="preserve"> </w:t>
      </w:r>
      <w:r>
        <w:t xml:space="preserve">.</w:t>
      </w:r>
    </w:p>
    <w:p>
      <w:pPr>
        <w:pStyle w:val="BodyText"/>
      </w:pPr>
      <w:r>
        <w:t xml:space="preserve">The model is implemented using the multinom function of the nnet package as follows</w:t>
      </w:r>
    </w:p>
    <w:p>
      <w:pPr>
        <w:pStyle w:val="SourceCode"/>
      </w:pPr>
      <w:r>
        <w:rPr>
          <w:rStyle w:val="NormalTok"/>
        </w:rPr>
        <w:t xml:space="preserve">  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w:t>
      </w:r>
      <w:r>
        <w:br/>
      </w:r>
      <w:r>
        <w:rPr>
          <w:rStyle w:val="NormalTok"/>
        </w:rPr>
        <w:t xml:space="preserve">    ...</w:t>
      </w:r>
      <w:r>
        <w:br/>
      </w:r>
      <w:r>
        <w:rPr>
          <w:rStyle w:val="NormalTok"/>
        </w:rPr>
        <w:t xml:space="preserve">  )</w:t>
      </w:r>
    </w:p>
    <w:bookmarkEnd w:id="26"/>
    <w:bookmarkStart w:id="27" w:name="exposure-models"/>
    <w:p>
      <w:pPr>
        <w:pStyle w:val="Heading2"/>
      </w:pPr>
      <w:r>
        <w:t xml:space="preserve">Exposure Models</w:t>
      </w:r>
    </w:p>
    <w:p>
      <w:pPr>
        <w:pStyle w:val="FirstParagraph"/>
      </w:pPr>
      <w:r>
        <w:t xml:space="preserve">Exposure models extend the foundation with one or more additional variables. These variables are the exposures of interest, and for which we want to estimate the influence on economic activity levels and flows.</w:t>
      </w:r>
    </w:p>
    <w:p>
      <w:pPr>
        <w:pStyle w:val="BodyText"/>
      </w:pPr>
      <w:r>
        <w:t xml:space="preserve">For a single exposure</w:t>
      </w:r>
      <w:r>
        <w:t xml:space="preserve"> </w:t>
      </w:r>
      <m:oMath>
        <m:r>
          <m:t>Z</m:t>
        </m:r>
      </m:oMath>
      <w:r>
        <w:t xml:space="preserve">, the equation simply extends the foundational model specification as follows:</w:t>
      </w:r>
    </w:p>
    <w:p>
      <w:pPr>
        <w:pStyle w:val="BodyText"/>
      </w:pPr>
      <m:oMathPara>
        <m:oMathParaPr>
          <m:jc m:val="center"/>
        </m:oMathParaPr>
        <m:oMath>
          <m:sSub>
            <m:e>
              <m:r>
                <m:t>S</m:t>
              </m:r>
            </m:e>
            <m:sub>
              <m:r>
                <m:t>T</m:t>
              </m:r>
              <m:r>
                <m:rPr>
                  <m:sty m:val="p"/>
                </m:rPr>
                <m:t>+</m:t>
              </m:r>
              <m:r>
                <m:t>1</m:t>
              </m:r>
            </m:sub>
          </m:sSub>
          <m:r>
            <m:rPr>
              <m:sty m:val="p"/>
            </m:rPr>
            <m:t>∼</m:t>
          </m:r>
          <m:r>
            <m:t>m</m:t>
          </m:r>
          <m:r>
            <m:t>u</m:t>
          </m:r>
          <m:r>
            <m:t>l</m:t>
          </m:r>
          <m:r>
            <m:t>t</m:t>
          </m:r>
          <m:r>
            <m:t>i</m:t>
          </m:r>
          <m:r>
            <m:t>n</m:t>
          </m:r>
          <m:r>
            <m:t>o</m:t>
          </m:r>
          <m:r>
            <m:t>m</m:t>
          </m:r>
          <m:d>
            <m:dPr>
              <m:begChr m:val="("/>
              <m:endChr m:val=")"/>
              <m:sepChr m:val=""/>
              <m:grow/>
            </m:dPr>
            <m:e>
              <m:sSub>
                <m:e>
                  <m:r>
                    <m:t>S</m:t>
                  </m:r>
                </m:e>
                <m:sub>
                  <m:r>
                    <m:t>T</m:t>
                  </m:r>
                </m:sub>
              </m:sSub>
              <m:sSub>
                <m:e>
                  <m:r>
                    <m:t>β</m:t>
                  </m:r>
                </m:e>
                <m:sub>
                  <m:r>
                    <m:t>S</m:t>
                  </m:r>
                </m:sub>
              </m:sSub>
              <m:r>
                <m:rPr>
                  <m:sty m:val="p"/>
                </m:rPr>
                <m:t>+</m:t>
              </m:r>
              <m:r>
                <m:t>m</m:t>
              </m:r>
              <m:r>
                <m:t>a</m:t>
              </m:r>
              <m:r>
                <m:t>l</m:t>
              </m:r>
              <m:r>
                <m:t>e</m:t>
              </m:r>
              <m:sSub>
                <m:e>
                  <m:r>
                    <m:t>β</m:t>
                  </m:r>
                </m:e>
                <m:sub>
                  <m:r>
                    <m:t>m</m:t>
                  </m:r>
                </m:sub>
              </m:sSub>
              <m:r>
                <m:rPr>
                  <m:sty m:val="p"/>
                </m:rPr>
                <m:t>+</m:t>
              </m:r>
              <m:d>
                <m:dPr>
                  <m:begChr m:val="("/>
                  <m:endChr m:val=")"/>
                  <m:sepChr m:val=""/>
                  <m:grow/>
                </m:dPr>
                <m:e>
                  <m:sSub>
                    <m:e>
                      <m:r>
                        <m:t>S</m:t>
                      </m:r>
                    </m:e>
                    <m:sub>
                      <m:r>
                        <m:t>T</m:t>
                      </m:r>
                    </m:sub>
                  </m:sSub>
                  <m:r>
                    <m:rPr>
                      <m:sty m:val="p"/>
                    </m:rPr>
                    <m:t>*</m:t>
                  </m:r>
                  <m:r>
                    <m:t>m</m:t>
                  </m:r>
                  <m:r>
                    <m:t>a</m:t>
                  </m:r>
                  <m:r>
                    <m:t>l</m:t>
                  </m:r>
                  <m:r>
                    <m:t>e</m:t>
                  </m:r>
                </m:e>
              </m:d>
              <m:sSub>
                <m:e>
                  <m:r>
                    <m:t>β</m:t>
                  </m:r>
                </m:e>
                <m:sub>
                  <m:r>
                    <m:t>I</m:t>
                  </m:r>
                </m:sub>
              </m:sSub>
              <m:r>
                <m:rPr>
                  <m:sty m:val="p"/>
                </m:rPr>
                <m:t>+</m:t>
              </m:r>
              <m:r>
                <m:t>b</m:t>
              </m:r>
              <m:r>
                <m:t>s</m:t>
              </m:r>
              <m:r>
                <m:t>p</m:t>
              </m:r>
              <m:r>
                <m:t>l</m:t>
              </m:r>
              <m:r>
                <m:t>i</m:t>
              </m:r>
              <m:r>
                <m:t>n</m:t>
              </m:r>
              <m:r>
                <m:t>e</m:t>
              </m:r>
              <m:d>
                <m:dPr>
                  <m:begChr m:val="("/>
                  <m:endChr m:val=")"/>
                  <m:sepChr m:val=""/>
                  <m:grow/>
                </m:dPr>
                <m:e>
                  <m:r>
                    <m:t>x</m:t>
                  </m:r>
                  <m:r>
                    <m:rPr>
                      <m:sty m:val="p"/>
                    </m:rPr>
                    <m:t>,</m:t>
                  </m:r>
                  <m:r>
                    <m:t>5</m:t>
                  </m:r>
                </m:e>
              </m:d>
              <m:sSub>
                <m:e>
                  <m:r>
                    <m:t>β</m:t>
                  </m:r>
                </m:e>
                <m:sub>
                  <m:r>
                    <m:t>X</m:t>
                  </m:r>
                </m:sub>
              </m:sSub>
              <m:r>
                <m:rPr>
                  <m:sty m:val="p"/>
                </m:rPr>
                <m:t>+</m:t>
              </m:r>
              <m:r>
                <m:t>Z</m:t>
              </m:r>
              <m:sSub>
                <m:e>
                  <m:r>
                    <m:t>β</m:t>
                  </m:r>
                </m:e>
                <m:sub>
                  <m:r>
                    <m:t>Z</m:t>
                  </m:r>
                </m:sub>
              </m:sSub>
            </m:e>
          </m:d>
        </m:oMath>
      </m:oMathPara>
    </w:p>
    <w:p>
      <w:pPr>
        <w:pStyle w:val="FirstParagraph"/>
      </w:pPr>
      <w:r>
        <w:t xml:space="preserve">Which is specified in R as follows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w:t>
      </w:r>
      <w:r>
        <w:br/>
      </w:r>
      <w:r>
        <w:rPr>
          <w:rStyle w:val="NormalTok"/>
        </w:rPr>
        <w:t xml:space="preserve">  ...</w:t>
      </w:r>
      <w:r>
        <w:br/>
      </w:r>
      <w:r>
        <w:rPr>
          <w:rStyle w:val="NormalTok"/>
        </w:rPr>
        <w:t xml:space="preserve">)</w:t>
      </w:r>
    </w:p>
    <w:p>
      <w:pPr>
        <w:pStyle w:val="FirstParagraph"/>
      </w:pPr>
      <w:r>
        <w:t xml:space="preserve">For two exposures,</w:t>
      </w:r>
      <w:r>
        <w:t xml:space="preserve"> </w:t>
      </w:r>
      <m:oMath>
        <m:sSub>
          <m:e>
            <m:r>
              <m:t>Z</m:t>
            </m:r>
          </m:e>
          <m:sub>
            <m:r>
              <m:t>1</m:t>
            </m:r>
          </m:sub>
        </m:sSub>
      </m:oMath>
      <w:r>
        <w:t xml:space="preserve"> </w:t>
      </w:r>
      <w:r>
        <w:t xml:space="preserve">and</w:t>
      </w:r>
      <w:r>
        <w:t xml:space="preserve"> </w:t>
      </w:r>
      <m:oMath>
        <m:sSub>
          <m:e>
            <m:r>
              <m:t>Z</m:t>
            </m:r>
          </m:e>
          <m:sub>
            <m:r>
              <m:t>2</m:t>
            </m:r>
          </m:sub>
        </m:sSub>
      </m:oMath>
      <w:r>
        <w:t xml:space="preserve">, this simply becomes</w:t>
      </w:r>
    </w:p>
    <w:p>
      <w:pPr>
        <w:pStyle w:val="SourceCode"/>
      </w:pPr>
      <w:r>
        <w:rPr>
          <w:rStyle w:val="NormalTok"/>
        </w:rPr>
        <w:t xml:space="preserve">nnet</w:t>
      </w:r>
      <w:r>
        <w:rPr>
          <w:rStyle w:val="SpecialCharTok"/>
        </w:rPr>
        <w:t xml:space="preserve">::</w:t>
      </w:r>
      <w:r>
        <w:rPr>
          <w:rStyle w:val="FunctionTok"/>
        </w:rPr>
        <w:t xml:space="preserve">multinom</w:t>
      </w:r>
      <w:r>
        <w:rPr>
          <w:rStyle w:val="NormalTok"/>
        </w:rPr>
        <w:t xml:space="preserve">(</w:t>
      </w:r>
      <w:r>
        <w:br/>
      </w:r>
      <w:r>
        <w:rPr>
          <w:rStyle w:val="NormalTok"/>
        </w:rPr>
        <w:t xml:space="preserve">  next_status </w:t>
      </w:r>
      <w:r>
        <w:rPr>
          <w:rStyle w:val="SpecialCharTok"/>
        </w:rPr>
        <w:t xml:space="preserve">~</w:t>
      </w:r>
      <w:r>
        <w:rPr>
          <w:rStyle w:val="NormalTok"/>
        </w:rPr>
        <w:t xml:space="preserve"> this_status </w:t>
      </w:r>
      <w:r>
        <w:rPr>
          <w:rStyle w:val="SpecialCharTok"/>
        </w:rPr>
        <w:t xml:space="preserve">*</w:t>
      </w:r>
      <w:r>
        <w:rPr>
          <w:rStyle w:val="NormalTok"/>
        </w:rPr>
        <w:t xml:space="preserve"> sex </w:t>
      </w:r>
      <w:r>
        <w:rPr>
          <w:rStyle w:val="SpecialCharTok"/>
        </w:rPr>
        <w:t xml:space="preserve">+</w:t>
      </w:r>
      <w:r>
        <w:rPr>
          <w:rStyle w:val="NormalTok"/>
        </w:rPr>
        <w:t xml:space="preserve"> splines</w:t>
      </w:r>
      <w:r>
        <w:rPr>
          <w:rStyle w:val="SpecialCharTok"/>
        </w:rPr>
        <w:t xml:space="preserve">::</w:t>
      </w:r>
      <w:r>
        <w:rPr>
          <w:rStyle w:val="FunctionTok"/>
        </w:rPr>
        <w:t xml:space="preserve">bs</w:t>
      </w:r>
      <w:r>
        <w:rPr>
          <w:rStyle w:val="NormalTok"/>
        </w:rPr>
        <w:t xml:space="preserve">(age, </w:t>
      </w:r>
      <w:r>
        <w:rPr>
          <w:rStyle w:val="DecValTok"/>
        </w:rPr>
        <w:t xml:space="preserve">5</w:t>
      </w:r>
      <w:r>
        <w:rPr>
          <w:rStyle w:val="NormalTok"/>
        </w:rPr>
        <w:t xml:space="preserve">) </w:t>
      </w:r>
      <w:r>
        <w:rPr>
          <w:rStyle w:val="SpecialCharTok"/>
        </w:rPr>
        <w:t xml:space="preserve">+</w:t>
      </w:r>
      <w:r>
        <w:rPr>
          <w:rStyle w:val="NormalTok"/>
        </w:rPr>
        <w:t xml:space="preserve"> Z1 </w:t>
      </w:r>
      <w:r>
        <w:rPr>
          <w:rStyle w:val="SpecialCharTok"/>
        </w:rPr>
        <w:t xml:space="preserve">+</w:t>
      </w:r>
      <w:r>
        <w:rPr>
          <w:rStyle w:val="NormalTok"/>
        </w:rPr>
        <w:t xml:space="preserve"> Z2,</w:t>
      </w:r>
      <w:r>
        <w:br/>
      </w:r>
      <w:r>
        <w:rPr>
          <w:rStyle w:val="NormalTok"/>
        </w:rPr>
        <w:t xml:space="preserve">  ...</w:t>
      </w:r>
      <w:r>
        <w:br/>
      </w:r>
      <w:r>
        <w:rPr>
          <w:rStyle w:val="NormalTok"/>
        </w:rPr>
        <w:t xml:space="preserve">)</w:t>
      </w:r>
    </w:p>
    <w:p>
      <w:pPr>
        <w:pStyle w:val="FirstParagraph"/>
      </w:pPr>
      <w:r>
        <w:t xml:space="preserve">and so on.</w:t>
      </w:r>
    </w:p>
    <w:p>
      <w:pPr>
        <w:pStyle w:val="BodyText"/>
      </w:pPr>
      <w:r>
        <w:t xml:space="preserve">In some cases (as with estimating the effects of health as an exposure) interaction terms are included between exposure variables as well. The decision about whether to include such interactions is made based on both our understanding of the extent to which factors are likely to interact in practice, and the penalised model fit as assessed using metrics like AIC and BIC.</w:t>
      </w:r>
    </w:p>
    <w:bookmarkEnd w:id="27"/>
    <w:bookmarkStart w:id="28" w:name="the-simulation"/>
    <w:p>
      <w:pPr>
        <w:pStyle w:val="Heading2"/>
      </w:pPr>
      <w:r>
        <w:t xml:space="preserve">The simulation</w:t>
      </w:r>
    </w:p>
    <w:p>
      <w:pPr>
        <w:pStyle w:val="FirstParagraph"/>
      </w:pPr>
      <w:r>
        <w:t xml:space="preserve">We simulate three different population groups:</w:t>
      </w:r>
    </w:p>
    <w:p>
      <w:pPr>
        <w:numPr>
          <w:ilvl w:val="0"/>
          <w:numId w:val="1004"/>
        </w:numPr>
        <w:pStyle w:val="Compact"/>
      </w:pPr>
      <w:r>
        <w:t xml:space="preserve">Populations of various representative working ages, male and female, whom we all assume start off as in employment</w:t>
      </w:r>
    </w:p>
    <w:p>
      <w:pPr>
        <w:numPr>
          <w:ilvl w:val="0"/>
          <w:numId w:val="1004"/>
        </w:numPr>
        <w:pStyle w:val="Compact"/>
      </w:pPr>
      <w:r>
        <w:t xml:space="preserve">Populations of various representative working ages, male and female, who all start off as unemployed</w:t>
      </w:r>
    </w:p>
    <w:p>
      <w:pPr>
        <w:numPr>
          <w:ilvl w:val="0"/>
          <w:numId w:val="1004"/>
        </w:numPr>
        <w:pStyle w:val="Compact"/>
      </w:pPr>
      <w:r>
        <w:t xml:space="preserve">A representative population of varying ages, sexes, current statuses, and driver states</w:t>
      </w:r>
    </w:p>
    <w:bookmarkEnd w:id="28"/>
    <w:bookmarkEnd w:id="29"/>
    <w:bookmarkStart w:id="58" w:name="results"/>
    <w:p>
      <w:pPr>
        <w:pStyle w:val="Heading1"/>
      </w:pPr>
      <w:r>
        <w:t xml:space="preserve">Results</w:t>
      </w:r>
    </w:p>
    <w:bookmarkStart w:id="43" w:name="descriptive-results"/>
    <w:p>
      <w:pPr>
        <w:pStyle w:val="Heading2"/>
      </w:pPr>
      <w:r>
        <w:t xml:space="preserve">Descriptive Results</w:t>
      </w:r>
    </w:p>
    <w:bookmarkStart w:id="30" w:name="X4c8890a80b3964540e8805295b000c69aa15d9d"/>
    <w:p>
      <w:pPr>
        <w:pStyle w:val="Heading3"/>
      </w:pPr>
      <w:r>
        <w:t xml:space="preserve">Simplified graphical transition between three states</w:t>
      </w:r>
    </w:p>
    <w:p>
      <w:pPr>
        <w:numPr>
          <w:ilvl w:val="0"/>
          <w:numId w:val="1005"/>
        </w:numPr>
        <w:pStyle w:val="Compact"/>
      </w:pPr>
      <w:r>
        <w:t xml:space="preserve">☐ Show going between employed, unemployed and inactive as three node graph</w:t>
      </w:r>
    </w:p>
    <w:bookmarkEnd w:id="30"/>
    <w:bookmarkStart w:id="42" w:name="observed-transitions-between-states"/>
    <w:p>
      <w:pPr>
        <w:pStyle w:val="Heading3"/>
      </w:pPr>
      <w:r>
        <w:t xml:space="preserve">Observed transitions between states</w:t>
      </w:r>
    </w:p>
    <w:p>
      <w:pPr>
        <w:pStyle w:val="FirstParagraph"/>
      </w:pPr>
      <w:r>
        <w:t xml:space="preserve">Within each wave, people are observed in each of the two economically active states, and each of the five economically inactive states. As the UKHLS are longitudinal, they can be used to calculate the proportion of those observed in each state one wave who then either stay in that state the following wave, or migrate to any of the other six states.</w:t>
      </w:r>
      <w:r>
        <w:t xml:space="preserve"> </w:t>
      </w:r>
      <w:hyperlink w:anchor="tbl-transitions_overall">
        <w:r>
          <w:rPr>
            <w:rStyle w:val="Hyperlink"/>
          </w:rPr>
          <w:t xml:space="preserve">Table 1</w:t>
        </w:r>
      </w:hyperlink>
      <w:r>
        <w:t xml:space="preserve"> </w:t>
      </w:r>
      <w:r>
        <w:t xml:space="preserve">shows these proportions as a single table. The rows in the first column indicate the state someone was observed for wave T, and the each of the states on the columns to the right indicate a possible state they could be observed the next wave (wave T+1). The order of the states is the same across rows and columns, meaning that the cells along the top-left to bottom-right diagonal indicate the proportions of those observed to stay in the same state from one wave to the next.</w:t>
      </w:r>
    </w:p>
    <w:bookmarkStart w:id="31" w:name="tbl-transitions_overall"/>
    <w:p>
      <w:pPr>
        <w:pStyle w:val="TableCaption"/>
      </w:pPr>
      <w:r>
        <w:t xml:space="preserve">Table 1: Observed transition probabilities between economic (in)activity states between years. Rows indicate state transitioning from</w:t>
      </w:r>
    </w:p>
    <w:tbl>
      <w:tblPr>
        <w:tblStyle w:val="Table"/>
        <w:tblW w:type="pct" w:w="5000"/>
        <w:tblLook w:firstRow="1" w:lastRow="0" w:firstColumn="0" w:lastColumn="0" w:noHBand="0" w:noVBand="0" w:val="0020"/>
        <w:jc w:val="start"/>
        <w:tblCaption w:val="Table 1: Observed transition probabilities between economic (in)activity states between years. Rows indicate state transitioning from"/>
      </w:tblPr>
      <w:tblGrid>
        <w:gridCol w:w="990"/>
        <w:gridCol w:w="990"/>
        <w:gridCol w:w="990"/>
        <w:gridCol w:w="990"/>
        <w:gridCol w:w="990"/>
        <w:gridCol w:w="990"/>
        <w:gridCol w:w="990"/>
        <w:gridCol w:w="990"/>
      </w:tblGrid>
      <w:tr>
        <w:trPr>
          <w:tblHeader w:val="true"/>
        </w:trPr>
        <w:tc>
          <w:tcPr/>
          <w:p>
            <w:pPr>
              <w:pStyle w:val="Compact"/>
            </w:pPr>
          </w:p>
        </w:tc>
        <w:tc>
          <w:tcPr>
            <w:gridSpan w:val="2"/>
          </w:tcPr>
          <w:p>
            <w:pPr>
              <w:pStyle w:val="Compact"/>
              <w:jc w:val="center"/>
            </w:pPr>
            <w:r>
              <w:t xml:space="preserve">Active</w:t>
            </w:r>
          </w:p>
        </w:tc>
        <w:tc>
          <w:tcPr>
            <w:gridSpan w:val="5"/>
          </w:tcPr>
          <w:p>
            <w:pPr>
              <w:pStyle w:val="Compact"/>
              <w:jc w:val="center"/>
            </w:pPr>
            <w:r>
              <w:t xml:space="preserve">Inactive</w:t>
            </w:r>
          </w:p>
        </w:tc>
      </w:tr>
      <w:tr>
        <w:trPr>
          <w:tblHeader w:val="true"/>
        </w:trPr>
        <w:tc>
          <w:tcPr/>
          <w:p>
            <w:pPr>
              <w:pStyle w:val="Compact"/>
            </w:pPr>
          </w:p>
        </w:tc>
        <w:tc>
          <w:tcPr/>
          <w:p>
            <w:pPr>
              <w:pStyle w:val="Compact"/>
              <w:jc w:val="right"/>
            </w:pPr>
            <w:r>
              <w:t xml:space="preserve">Employed</w:t>
            </w:r>
          </w:p>
        </w:tc>
        <w:tc>
          <w:tcPr/>
          <w:p>
            <w:pPr>
              <w:pStyle w:val="Compact"/>
              <w:jc w:val="right"/>
            </w:pPr>
            <w:r>
              <w:t xml:space="preserve">Unemployed</w:t>
            </w:r>
          </w:p>
        </w:tc>
        <w:tc>
          <w:tcPr/>
          <w:p>
            <w:pPr>
              <w:pStyle w:val="Compact"/>
              <w:jc w:val="right"/>
            </w:pPr>
            <w:r>
              <w:t xml:space="preserve">Inactive student</w:t>
            </w:r>
          </w:p>
        </w:tc>
        <w:tc>
          <w:tcPr/>
          <w:p>
            <w:pPr>
              <w:pStyle w:val="Compact"/>
              <w:jc w:val="right"/>
            </w:pPr>
            <w:r>
              <w:t xml:space="preserve">Inactive care</w:t>
            </w:r>
          </w:p>
        </w:tc>
        <w:tc>
          <w:tcPr/>
          <w:p>
            <w:pPr>
              <w:pStyle w:val="Compact"/>
              <w:jc w:val="right"/>
            </w:pPr>
            <w:r>
              <w:t xml:space="preserve">Inactive long term sick</w:t>
            </w:r>
          </w:p>
        </w:tc>
        <w:tc>
          <w:tcPr/>
          <w:p>
            <w:pPr>
              <w:pStyle w:val="Compact"/>
              <w:jc w:val="right"/>
            </w:pPr>
            <w:r>
              <w:t xml:space="preserve">Inactive retired</w:t>
            </w:r>
          </w:p>
        </w:tc>
        <w:tc>
          <w:tcPr/>
          <w:p>
            <w:pPr>
              <w:pStyle w:val="Compact"/>
              <w:jc w:val="right"/>
            </w:pPr>
            <w:r>
              <w:t xml:space="preserve">Inactive other</w:t>
            </w:r>
          </w:p>
        </w:tc>
      </w:tr>
      <w:tr>
        <w:tc>
          <w:tcPr>
            <w:gridSpan w:val="8"/>
          </w:tcPr>
          <w:p>
            <w:pPr>
              <w:pStyle w:val="Compact"/>
              <w:jc w:val="left"/>
            </w:pPr>
            <w:r>
              <w:rPr>
                <w:bCs/>
                <w:b/>
              </w:rPr>
              <w:t xml:space="preserve">Active</w:t>
            </w:r>
          </w:p>
        </w:tc>
      </w:tr>
      <w:tr>
        <w:tc>
          <w:tcPr/>
          <w:p>
            <w:pPr>
              <w:pStyle w:val="Compact"/>
              <w:jc w:val="left"/>
            </w:pPr>
            <w:r>
              <w:t xml:space="preserve">Employed</w:t>
            </w:r>
          </w:p>
        </w:tc>
        <w:tc>
          <w:tcPr/>
          <w:p>
            <w:pPr>
              <w:pStyle w:val="Compact"/>
              <w:jc w:val="right"/>
            </w:pPr>
            <w:r>
              <w:t xml:space="preserve">0.956</w:t>
            </w:r>
          </w:p>
        </w:tc>
        <w:tc>
          <w:tcPr/>
          <w:p>
            <w:pPr>
              <w:pStyle w:val="Compact"/>
              <w:jc w:val="right"/>
            </w:pPr>
            <w:r>
              <w:t xml:space="preserve">0.017</w:t>
            </w:r>
          </w:p>
        </w:tc>
        <w:tc>
          <w:tcPr/>
          <w:p>
            <w:pPr>
              <w:pStyle w:val="Compact"/>
              <w:jc w:val="right"/>
            </w:pPr>
            <w:r>
              <w:t xml:space="preserve">0.003</w:t>
            </w:r>
          </w:p>
        </w:tc>
        <w:tc>
          <w:tcPr/>
          <w:p>
            <w:pPr>
              <w:pStyle w:val="Compact"/>
              <w:jc w:val="right"/>
            </w:pPr>
            <w:r>
              <w:t xml:space="preserve">0.009</w:t>
            </w:r>
          </w:p>
        </w:tc>
        <w:tc>
          <w:tcPr/>
          <w:p>
            <w:pPr>
              <w:pStyle w:val="Compact"/>
              <w:jc w:val="right"/>
            </w:pPr>
            <w:r>
              <w:t xml:space="preserve">0.004</w:t>
            </w:r>
          </w:p>
        </w:tc>
        <w:tc>
          <w:tcPr/>
          <w:p>
            <w:pPr>
              <w:pStyle w:val="Compact"/>
              <w:jc w:val="right"/>
            </w:pPr>
            <w:r>
              <w:t xml:space="preserve">0.009</w:t>
            </w:r>
          </w:p>
        </w:tc>
        <w:tc>
          <w:tcPr/>
          <w:p>
            <w:pPr>
              <w:pStyle w:val="Compact"/>
              <w:jc w:val="right"/>
            </w:pPr>
            <w:r>
              <w:t xml:space="preserve">0.002</w:t>
            </w:r>
          </w:p>
        </w:tc>
      </w:tr>
      <w:tr>
        <w:tc>
          <w:tcPr/>
          <w:p>
            <w:pPr>
              <w:pStyle w:val="Compact"/>
              <w:jc w:val="left"/>
            </w:pPr>
            <w:r>
              <w:t xml:space="preserve">Unemployed</w:t>
            </w:r>
          </w:p>
        </w:tc>
        <w:tc>
          <w:tcPr/>
          <w:p>
            <w:pPr>
              <w:pStyle w:val="Compact"/>
              <w:jc w:val="right"/>
            </w:pPr>
            <w:r>
              <w:t xml:space="preserve">0.309</w:t>
            </w:r>
          </w:p>
        </w:tc>
        <w:tc>
          <w:tcPr/>
          <w:p>
            <w:pPr>
              <w:pStyle w:val="Compact"/>
              <w:jc w:val="right"/>
            </w:pPr>
            <w:r>
              <w:t xml:space="preserve">0.434</w:t>
            </w:r>
          </w:p>
        </w:tc>
        <w:tc>
          <w:tcPr/>
          <w:p>
            <w:pPr>
              <w:pStyle w:val="Compact"/>
              <w:jc w:val="right"/>
            </w:pPr>
            <w:r>
              <w:t xml:space="preserve">0.009</w:t>
            </w:r>
          </w:p>
        </w:tc>
        <w:tc>
          <w:tcPr/>
          <w:p>
            <w:pPr>
              <w:pStyle w:val="Compact"/>
              <w:jc w:val="right"/>
            </w:pPr>
            <w:r>
              <w:t xml:space="preserve">0.115</w:t>
            </w:r>
          </w:p>
        </w:tc>
        <w:tc>
          <w:tcPr/>
          <w:p>
            <w:pPr>
              <w:pStyle w:val="Compact"/>
              <w:jc w:val="right"/>
            </w:pPr>
            <w:r>
              <w:t xml:space="preserve">0.095</w:t>
            </w:r>
          </w:p>
        </w:tc>
        <w:tc>
          <w:tcPr/>
          <w:p>
            <w:pPr>
              <w:pStyle w:val="Compact"/>
              <w:jc w:val="right"/>
            </w:pPr>
            <w:r>
              <w:t xml:space="preserve">0.022</w:t>
            </w:r>
          </w:p>
        </w:tc>
        <w:tc>
          <w:tcPr/>
          <w:p>
            <w:pPr>
              <w:pStyle w:val="Compact"/>
              <w:jc w:val="right"/>
            </w:pPr>
            <w:r>
              <w:t xml:space="preserve">0.016</w:t>
            </w:r>
          </w:p>
        </w:tc>
      </w:tr>
      <w:tr>
        <w:tc>
          <w:tcPr>
            <w:gridSpan w:val="8"/>
          </w:tcPr>
          <w:p>
            <w:pPr>
              <w:pStyle w:val="Compact"/>
              <w:jc w:val="left"/>
            </w:pPr>
            <w:r>
              <w:rPr>
                <w:bCs/>
                <w:b/>
              </w:rPr>
              <w:t xml:space="preserve">Inactive</w:t>
            </w:r>
          </w:p>
        </w:tc>
      </w:tr>
      <w:tr>
        <w:tc>
          <w:tcPr/>
          <w:p>
            <w:pPr>
              <w:pStyle w:val="Compact"/>
              <w:jc w:val="left"/>
            </w:pPr>
            <w:r>
              <w:t xml:space="preserve">Inactive student</w:t>
            </w:r>
          </w:p>
        </w:tc>
        <w:tc>
          <w:tcPr/>
          <w:p>
            <w:pPr>
              <w:pStyle w:val="Compact"/>
              <w:jc w:val="right"/>
            </w:pPr>
            <w:r>
              <w:t xml:space="preserve">0.368</w:t>
            </w:r>
          </w:p>
        </w:tc>
        <w:tc>
          <w:tcPr/>
          <w:p>
            <w:pPr>
              <w:pStyle w:val="Compact"/>
              <w:jc w:val="right"/>
            </w:pPr>
            <w:r>
              <w:t xml:space="preserve">0.089</w:t>
            </w:r>
          </w:p>
        </w:tc>
        <w:tc>
          <w:tcPr/>
          <w:p>
            <w:pPr>
              <w:pStyle w:val="Compact"/>
              <w:jc w:val="right"/>
            </w:pPr>
            <w:r>
              <w:t xml:space="preserve">0.461</w:t>
            </w:r>
          </w:p>
        </w:tc>
        <w:tc>
          <w:tcPr/>
          <w:p>
            <w:pPr>
              <w:pStyle w:val="Compact"/>
              <w:jc w:val="right"/>
            </w:pPr>
            <w:r>
              <w:t xml:space="preserve">0.048</w:t>
            </w:r>
          </w:p>
        </w:tc>
        <w:tc>
          <w:tcPr/>
          <w:p>
            <w:pPr>
              <w:pStyle w:val="Compact"/>
              <w:jc w:val="right"/>
            </w:pPr>
            <w:r>
              <w:t xml:space="preserve">0.015</w:t>
            </w:r>
          </w:p>
        </w:tc>
        <w:tc>
          <w:tcPr/>
          <w:p>
            <w:pPr>
              <w:pStyle w:val="Compact"/>
              <w:jc w:val="right"/>
            </w:pPr>
            <w:r>
              <w:t xml:space="preserve">0.003</w:t>
            </w:r>
          </w:p>
        </w:tc>
        <w:tc>
          <w:tcPr/>
          <w:p>
            <w:pPr>
              <w:pStyle w:val="Compact"/>
              <w:jc w:val="right"/>
            </w:pPr>
            <w:r>
              <w:t xml:space="preserve">0.015</w:t>
            </w:r>
          </w:p>
        </w:tc>
      </w:tr>
      <w:tr>
        <w:tc>
          <w:tcPr/>
          <w:p>
            <w:pPr>
              <w:pStyle w:val="Compact"/>
              <w:jc w:val="left"/>
            </w:pPr>
            <w:r>
              <w:t xml:space="preserve">Inactive care</w:t>
            </w:r>
          </w:p>
        </w:tc>
        <w:tc>
          <w:tcPr/>
          <w:p>
            <w:pPr>
              <w:pStyle w:val="Compact"/>
              <w:jc w:val="right"/>
            </w:pPr>
            <w:r>
              <w:t xml:space="preserve">0.136</w:t>
            </w:r>
          </w:p>
        </w:tc>
        <w:tc>
          <w:tcPr/>
          <w:p>
            <w:pPr>
              <w:pStyle w:val="Compact"/>
              <w:jc w:val="right"/>
            </w:pPr>
            <w:r>
              <w:t xml:space="preserve">0.081</w:t>
            </w:r>
          </w:p>
        </w:tc>
        <w:tc>
          <w:tcPr/>
          <w:p>
            <w:pPr>
              <w:pStyle w:val="Compact"/>
              <w:jc w:val="right"/>
            </w:pPr>
            <w:r>
              <w:t xml:space="preserve">0.007</w:t>
            </w:r>
          </w:p>
        </w:tc>
        <w:tc>
          <w:tcPr/>
          <w:p>
            <w:pPr>
              <w:pStyle w:val="Compact"/>
              <w:jc w:val="right"/>
            </w:pPr>
            <w:r>
              <w:t xml:space="preserve">0.705</w:t>
            </w:r>
          </w:p>
        </w:tc>
        <w:tc>
          <w:tcPr/>
          <w:p>
            <w:pPr>
              <w:pStyle w:val="Compact"/>
              <w:jc w:val="right"/>
            </w:pPr>
            <w:r>
              <w:t xml:space="preserve">0.030</w:t>
            </w:r>
          </w:p>
        </w:tc>
        <w:tc>
          <w:tcPr/>
          <w:p>
            <w:pPr>
              <w:pStyle w:val="Compact"/>
              <w:jc w:val="right"/>
            </w:pPr>
            <w:r>
              <w:t xml:space="preserve">0.024</w:t>
            </w:r>
          </w:p>
        </w:tc>
        <w:tc>
          <w:tcPr/>
          <w:p>
            <w:pPr>
              <w:pStyle w:val="Compact"/>
              <w:jc w:val="right"/>
            </w:pPr>
            <w:r>
              <w:t xml:space="preserve">0.017</w:t>
            </w:r>
          </w:p>
        </w:tc>
      </w:tr>
      <w:tr>
        <w:tc>
          <w:tcPr/>
          <w:p>
            <w:pPr>
              <w:pStyle w:val="Compact"/>
              <w:jc w:val="left"/>
            </w:pPr>
            <w:r>
              <w:t xml:space="preserve">Inactive long term sick</w:t>
            </w:r>
          </w:p>
        </w:tc>
        <w:tc>
          <w:tcPr/>
          <w:p>
            <w:pPr>
              <w:pStyle w:val="Compact"/>
              <w:jc w:val="right"/>
            </w:pPr>
            <w:r>
              <w:t xml:space="preserve">0.044</w:t>
            </w:r>
          </w:p>
        </w:tc>
        <w:tc>
          <w:tcPr/>
          <w:p>
            <w:pPr>
              <w:pStyle w:val="Compact"/>
              <w:jc w:val="right"/>
            </w:pPr>
            <w:r>
              <w:t xml:space="preserve">0.087</w:t>
            </w:r>
          </w:p>
        </w:tc>
        <w:tc>
          <w:tcPr/>
          <w:p>
            <w:pPr>
              <w:pStyle w:val="Compact"/>
              <w:jc w:val="right"/>
            </w:pPr>
            <w:r>
              <w:t xml:space="preserve">0.002</w:t>
            </w:r>
          </w:p>
        </w:tc>
        <w:tc>
          <w:tcPr/>
          <w:p>
            <w:pPr>
              <w:pStyle w:val="Compact"/>
              <w:jc w:val="right"/>
            </w:pPr>
            <w:r>
              <w:t xml:space="preserve">0.043</w:t>
            </w:r>
          </w:p>
        </w:tc>
        <w:tc>
          <w:tcPr/>
          <w:p>
            <w:pPr>
              <w:pStyle w:val="Compact"/>
              <w:jc w:val="right"/>
            </w:pPr>
            <w:r>
              <w:t xml:space="preserve">0.774</w:t>
            </w:r>
          </w:p>
        </w:tc>
        <w:tc>
          <w:tcPr/>
          <w:p>
            <w:pPr>
              <w:pStyle w:val="Compact"/>
              <w:jc w:val="right"/>
            </w:pPr>
            <w:r>
              <w:t xml:space="preserve">0.043</w:t>
            </w:r>
          </w:p>
        </w:tc>
        <w:tc>
          <w:tcPr/>
          <w:p>
            <w:pPr>
              <w:pStyle w:val="Compact"/>
              <w:jc w:val="right"/>
            </w:pPr>
            <w:r>
              <w:t xml:space="preserve">0.006</w:t>
            </w:r>
          </w:p>
        </w:tc>
      </w:tr>
      <w:tr>
        <w:tc>
          <w:tcPr/>
          <w:p>
            <w:pPr>
              <w:pStyle w:val="Compact"/>
              <w:jc w:val="left"/>
            </w:pPr>
            <w:r>
              <w:t xml:space="preserve">Inactive retired</w:t>
            </w:r>
          </w:p>
        </w:tc>
        <w:tc>
          <w:tcPr/>
          <w:p>
            <w:pPr>
              <w:pStyle w:val="Compact"/>
              <w:jc w:val="right"/>
            </w:pPr>
            <w:r>
              <w:t xml:space="preserve">0.071</w:t>
            </w:r>
          </w:p>
        </w:tc>
        <w:tc>
          <w:tcPr/>
          <w:p>
            <w:pPr>
              <w:pStyle w:val="Compact"/>
              <w:jc w:val="right"/>
            </w:pPr>
            <w:r>
              <w:t xml:space="preserve">0.016</w:t>
            </w:r>
          </w:p>
        </w:tc>
        <w:tc>
          <w:tcPr/>
          <w:p>
            <w:pPr>
              <w:pStyle w:val="Compact"/>
              <w:jc w:val="right"/>
            </w:pPr>
            <w:r>
              <w:t xml:space="preserve">0.001</w:t>
            </w:r>
          </w:p>
        </w:tc>
        <w:tc>
          <w:tcPr/>
          <w:p>
            <w:pPr>
              <w:pStyle w:val="Compact"/>
              <w:jc w:val="right"/>
            </w:pPr>
            <w:r>
              <w:t xml:space="preserve">0.034</w:t>
            </w:r>
          </w:p>
        </w:tc>
        <w:tc>
          <w:tcPr/>
          <w:p>
            <w:pPr>
              <w:pStyle w:val="Compact"/>
              <w:jc w:val="right"/>
            </w:pPr>
            <w:r>
              <w:t xml:space="preserve">0.042</w:t>
            </w:r>
          </w:p>
        </w:tc>
        <w:tc>
          <w:tcPr/>
          <w:p>
            <w:pPr>
              <w:pStyle w:val="Compact"/>
              <w:jc w:val="right"/>
            </w:pPr>
            <w:r>
              <w:t xml:space="preserve">0.827</w:t>
            </w:r>
          </w:p>
        </w:tc>
        <w:tc>
          <w:tcPr/>
          <w:p>
            <w:pPr>
              <w:pStyle w:val="Compact"/>
              <w:jc w:val="right"/>
            </w:pPr>
            <w:r>
              <w:t xml:space="preserve">0.008</w:t>
            </w:r>
          </w:p>
        </w:tc>
      </w:tr>
      <w:tr>
        <w:tc>
          <w:tcPr/>
          <w:p>
            <w:pPr>
              <w:pStyle w:val="Compact"/>
              <w:jc w:val="left"/>
            </w:pPr>
            <w:r>
              <w:t xml:space="preserve">Inactive other</w:t>
            </w:r>
          </w:p>
        </w:tc>
        <w:tc>
          <w:tcPr/>
          <w:p>
            <w:pPr>
              <w:pStyle w:val="Compact"/>
              <w:jc w:val="right"/>
            </w:pPr>
            <w:r>
              <w:t xml:space="preserve">0.308</w:t>
            </w:r>
          </w:p>
        </w:tc>
        <w:tc>
          <w:tcPr/>
          <w:p>
            <w:pPr>
              <w:pStyle w:val="Compact"/>
              <w:jc w:val="right"/>
            </w:pPr>
            <w:r>
              <w:t xml:space="preserve">0.129</w:t>
            </w:r>
          </w:p>
        </w:tc>
        <w:tc>
          <w:tcPr/>
          <w:p>
            <w:pPr>
              <w:pStyle w:val="Compact"/>
              <w:jc w:val="right"/>
            </w:pPr>
            <w:r>
              <w:t xml:space="preserve">0.020</w:t>
            </w:r>
          </w:p>
        </w:tc>
        <w:tc>
          <w:tcPr/>
          <w:p>
            <w:pPr>
              <w:pStyle w:val="Compact"/>
              <w:jc w:val="right"/>
            </w:pPr>
            <w:r>
              <w:t xml:space="preserve">0.218</w:t>
            </w:r>
          </w:p>
        </w:tc>
        <w:tc>
          <w:tcPr/>
          <w:p>
            <w:pPr>
              <w:pStyle w:val="Compact"/>
              <w:jc w:val="right"/>
            </w:pPr>
            <w:r>
              <w:t xml:space="preserve">0.052</w:t>
            </w:r>
          </w:p>
        </w:tc>
        <w:tc>
          <w:tcPr/>
          <w:p>
            <w:pPr>
              <w:pStyle w:val="Compact"/>
              <w:jc w:val="right"/>
            </w:pPr>
            <w:r>
              <w:t xml:space="preserve">0.057</w:t>
            </w:r>
          </w:p>
        </w:tc>
        <w:tc>
          <w:tcPr/>
          <w:p>
            <w:pPr>
              <w:pStyle w:val="Compact"/>
              <w:jc w:val="right"/>
            </w:pPr>
            <w:r>
              <w:t xml:space="preserve">0.217</w:t>
            </w:r>
          </w:p>
        </w:tc>
      </w:tr>
    </w:tbl>
    <w:bookmarkEnd w:id="31"/>
    <w:p>
      <w:pPr>
        <w:pStyle w:val="BodyText"/>
      </w:pPr>
      <w:r>
        <w:t xml:space="preserve">Within</w:t>
      </w:r>
      <w:r>
        <w:t xml:space="preserve"> </w:t>
      </w:r>
      <w:hyperlink w:anchor="tbl-transitions_overall">
        <w:r>
          <w:rPr>
            <w:rStyle w:val="Hyperlink"/>
          </w:rPr>
          <w:t xml:space="preserve">Table 1</w:t>
        </w:r>
      </w:hyperlink>
      <w:r>
        <w:t xml:space="preserve"> </w:t>
      </w:r>
      <w:r>
        <w:t xml:space="preserve">the diagonal cell values show that some economic (in)activity states are more persistent than others. For example, the overall probability of someone who is employed one wave remaining employed the next wave is over 95%, the proportion remaining retired is almost 83%. Conversely, the probability of someone unemployed remaining unemployed between waves is 43%, which is still higher than the probability of moving to employment (31%). From unemployment, there is also around a one-in-ten chance of moving either to inactive care, or to long-term sickness, but less than a 1% probability of becoming a full-time student in the next wave.</w:t>
      </w:r>
    </w:p>
    <w:p>
      <w:pPr>
        <w:pStyle w:val="BodyText"/>
      </w:pPr>
      <w:r>
        <w:t xml:space="preserve">For those states other than employment, the conditional probability of moving into employment is worth comparing. We can see that the conditional probability of moving from full time study (third row) to employment (first column) is 37%, which is higher than the 31% conditional probability of moving from unemployment (second row) to employment (first column). In this sense, the state of being a full-time student is</w:t>
      </w:r>
      <w:r>
        <w:t xml:space="preserve"> </w:t>
      </w:r>
      <w:r>
        <w:rPr>
          <w:iCs/>
          <w:i/>
        </w:rPr>
        <w:t xml:space="preserve">closer</w:t>
      </w:r>
      <w:r>
        <w:t xml:space="preserve"> </w:t>
      </w:r>
      <w:r>
        <w:t xml:space="preserve">to employment than the state of being unemployed, even though unemployment is considered economic activity whereas full time study is considered economic inactivity. The high level of heterogeneity between economically inactive states is why it is so important not to collapse these states into a single category.</w:t>
      </w:r>
    </w:p>
    <w:p>
      <w:pPr>
        <w:pStyle w:val="BodyText"/>
      </w:pPr>
      <w:r>
        <w:t xml:space="preserve">The transition rates observed vary markedly by sex, as shown in</w:t>
      </w:r>
      <w:r>
        <w:t xml:space="preserve"> </w:t>
      </w:r>
      <w:hyperlink w:anchor="tbl-transition-bysex">
        <w:r>
          <w:rPr>
            <w:rStyle w:val="Hyperlink"/>
          </w:rPr>
          <w:t xml:space="preserve">Table 2</w:t>
        </w:r>
      </w:hyperlink>
      <w:r>
        <w:t xml:space="preserve">.</w:t>
      </w:r>
    </w:p>
    <w:bookmarkStart w:id="34" w:name="tbl-transition-bysex"/>
    <w:tbl>
      <w:tblPr>
        <w:tblStyle w:val="Table"/>
        <w:tblW w:type="pct" w:w="5000"/>
        <w:tblLook w:firstRow="0" w:lastRow="0" w:firstColumn="0" w:lastColumn="0" w:noHBand="0" w:noVBand="0" w:val="0000"/>
        <w:jc w:val="start"/>
      </w:tblPr>
      <w:tblGrid>
        <w:gridCol w:w="3960"/>
        <w:gridCol w:w="3960"/>
      </w:tblGrid>
      <w:tr>
        <w:tc>
          <w:tcPr/>
          <w:bookmarkStart w:id="32" w:name="tbl-transition-bysex-1"/>
          <w:p>
            <w:pPr>
              <w:jc w:val="left"/>
            </w:pPr>
            <w:pPr>
              <w:jc w:val="center"/>
              <w:spacing w:before="200"/>
              <w:pStyle w:val="ImageCaption"/>
            </w:pPr>
            <w:r>
              <w:t xml:space="preserve">(a) Females</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0.949</w:t>
                  </w:r>
                </w:p>
              </w:tc>
              <w:tc>
                <w:tcPr/>
                <w:p>
                  <w:pPr>
                    <w:pStyle w:val="Compact"/>
                    <w:jc w:val="right"/>
                    <w:jc w:val="left"/>
                  </w:pPr>
                  <w:r>
                    <w:t xml:space="preserve">0.015</w:t>
                  </w:r>
                </w:p>
              </w:tc>
              <w:tc>
                <w:tcPr/>
                <w:p>
                  <w:pPr>
                    <w:pStyle w:val="Compact"/>
                    <w:jc w:val="right"/>
                    <w:jc w:val="left"/>
                  </w:pPr>
                  <w:r>
                    <w:t xml:space="preserve">0.003</w:t>
                  </w:r>
                </w:p>
              </w:tc>
              <w:tc>
                <w:tcPr/>
                <w:p>
                  <w:pPr>
                    <w:pStyle w:val="Compact"/>
                    <w:jc w:val="right"/>
                    <w:jc w:val="left"/>
                  </w:pPr>
                  <w:r>
                    <w:t xml:space="preserve">0.016</w:t>
                  </w:r>
                </w:p>
              </w:tc>
              <w:tc>
                <w:tcPr/>
                <w:p>
                  <w:pPr>
                    <w:pStyle w:val="Compact"/>
                    <w:jc w:val="right"/>
                    <w:jc w:val="left"/>
                  </w:pPr>
                  <w:r>
                    <w:t xml:space="preserve">0.005</w:t>
                  </w:r>
                </w:p>
              </w:tc>
              <w:tc>
                <w:tcPr/>
                <w:p>
                  <w:pPr>
                    <w:pStyle w:val="Compact"/>
                    <w:jc w:val="right"/>
                    <w:jc w:val="left"/>
                  </w:pPr>
                  <w:r>
                    <w:t xml:space="preserve">0.010</w:t>
                  </w:r>
                </w:p>
              </w:tc>
              <w:tc>
                <w:tcPr/>
                <w:p>
                  <w:pPr>
                    <w:pStyle w:val="Compact"/>
                    <w:jc w:val="right"/>
                    <w:jc w:val="left"/>
                  </w:pPr>
                  <w:r>
                    <w:t xml:space="preserve">0.003</w:t>
                  </w:r>
                </w:p>
              </w:tc>
            </w:tr>
            <w:tr>
              <w:tc>
                <w:tcPr/>
                <w:p>
                  <w:pPr>
                    <w:pStyle w:val="Compact"/>
                    <w:jc w:val="left"/>
                    <w:jc w:val="left"/>
                  </w:pPr>
                  <w:r>
                    <w:t xml:space="preserve">Unemployed</w:t>
                  </w:r>
                </w:p>
              </w:tc>
              <w:tc>
                <w:tcPr/>
                <w:p>
                  <w:pPr>
                    <w:pStyle w:val="Compact"/>
                    <w:jc w:val="right"/>
                    <w:jc w:val="left"/>
                  </w:pPr>
                  <w:r>
                    <w:t xml:space="preserve">0.277</w:t>
                  </w:r>
                </w:p>
              </w:tc>
              <w:tc>
                <w:tcPr/>
                <w:p>
                  <w:pPr>
                    <w:pStyle w:val="Compact"/>
                    <w:jc w:val="right"/>
                    <w:jc w:val="left"/>
                  </w:pPr>
                  <w:r>
                    <w:t xml:space="preserve">0.373</w:t>
                  </w:r>
                </w:p>
              </w:tc>
              <w:tc>
                <w:tcPr/>
                <w:p>
                  <w:pPr>
                    <w:pStyle w:val="Compact"/>
                    <w:jc w:val="right"/>
                    <w:jc w:val="left"/>
                  </w:pPr>
                  <w:r>
                    <w:t xml:space="preserve">0.012</w:t>
                  </w:r>
                </w:p>
              </w:tc>
              <w:tc>
                <w:tcPr/>
                <w:p>
                  <w:pPr>
                    <w:pStyle w:val="Compact"/>
                    <w:jc w:val="right"/>
                    <w:jc w:val="left"/>
                  </w:pPr>
                  <w:r>
                    <w:t xml:space="preserve">0.200</w:t>
                  </w:r>
                </w:p>
              </w:tc>
              <w:tc>
                <w:tcPr/>
                <w:p>
                  <w:pPr>
                    <w:pStyle w:val="Compact"/>
                    <w:jc w:val="right"/>
                    <w:jc w:val="left"/>
                  </w:pPr>
                  <w:r>
                    <w:t xml:space="preserve">0.099</w:t>
                  </w:r>
                </w:p>
              </w:tc>
              <w:tc>
                <w:tcPr/>
                <w:p>
                  <w:pPr>
                    <w:pStyle w:val="Compact"/>
                    <w:jc w:val="right"/>
                    <w:jc w:val="left"/>
                  </w:pPr>
                  <w:r>
                    <w:t xml:space="preserve">0.023</w:t>
                  </w:r>
                </w:p>
              </w:tc>
              <w:tc>
                <w:tcPr/>
                <w:p>
                  <w:pPr>
                    <w:pStyle w:val="Compact"/>
                    <w:jc w:val="right"/>
                    <w:jc w:val="left"/>
                  </w:pPr>
                  <w:r>
                    <w:t xml:space="preserve">0.016</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0.362</w:t>
                  </w:r>
                </w:p>
              </w:tc>
              <w:tc>
                <w:tcPr/>
                <w:p>
                  <w:pPr>
                    <w:pStyle w:val="Compact"/>
                    <w:jc w:val="right"/>
                    <w:jc w:val="left"/>
                  </w:pPr>
                  <w:r>
                    <w:t xml:space="preserve">0.081</w:t>
                  </w:r>
                </w:p>
              </w:tc>
              <w:tc>
                <w:tcPr/>
                <w:p>
                  <w:pPr>
                    <w:pStyle w:val="Compact"/>
                    <w:jc w:val="right"/>
                    <w:jc w:val="left"/>
                  </w:pPr>
                  <w:r>
                    <w:t xml:space="preserve">0.457</w:t>
                  </w:r>
                </w:p>
              </w:tc>
              <w:tc>
                <w:tcPr/>
                <w:p>
                  <w:pPr>
                    <w:pStyle w:val="Compact"/>
                    <w:jc w:val="right"/>
                    <w:jc w:val="left"/>
                  </w:pPr>
                  <w:r>
                    <w:t xml:space="preserve">0.067</w:t>
                  </w:r>
                </w:p>
              </w:tc>
              <w:tc>
                <w:tcPr/>
                <w:p>
                  <w:pPr>
                    <w:pStyle w:val="Compact"/>
                    <w:jc w:val="right"/>
                    <w:jc w:val="left"/>
                  </w:pPr>
                  <w:r>
                    <w:t xml:space="preserve">0.015</w:t>
                  </w:r>
                </w:p>
              </w:tc>
              <w:tc>
                <w:tcPr/>
                <w:p>
                  <w:pPr>
                    <w:pStyle w:val="Compact"/>
                    <w:jc w:val="right"/>
                    <w:jc w:val="left"/>
                  </w:pPr>
                  <w:r>
                    <w:t xml:space="preserve">0.004</w:t>
                  </w:r>
                </w:p>
              </w:tc>
              <w:tc>
                <w:tcPr/>
                <w:p>
                  <w:pPr>
                    <w:pStyle w:val="Compact"/>
                    <w:jc w:val="right"/>
                    <w:jc w:val="left"/>
                  </w:pPr>
                  <w:r>
                    <w:t xml:space="preserve">0.015</w:t>
                  </w:r>
                </w:p>
              </w:tc>
            </w:tr>
            <w:tr>
              <w:tc>
                <w:tcPr/>
                <w:p>
                  <w:pPr>
                    <w:pStyle w:val="Compact"/>
                    <w:jc w:val="left"/>
                    <w:jc w:val="left"/>
                  </w:pPr>
                  <w:r>
                    <w:t xml:space="preserve">Inactive care</w:t>
                  </w:r>
                </w:p>
              </w:tc>
              <w:tc>
                <w:tcPr/>
                <w:p>
                  <w:pPr>
                    <w:pStyle w:val="Compact"/>
                    <w:jc w:val="right"/>
                    <w:jc w:val="left"/>
                  </w:pPr>
                  <w:r>
                    <w:t xml:space="preserve">0.134</w:t>
                  </w:r>
                </w:p>
              </w:tc>
              <w:tc>
                <w:tcPr/>
                <w:p>
                  <w:pPr>
                    <w:pStyle w:val="Compact"/>
                    <w:jc w:val="right"/>
                    <w:jc w:val="left"/>
                  </w:pPr>
                  <w:r>
                    <w:t xml:space="preserve">0.077</w:t>
                  </w:r>
                </w:p>
              </w:tc>
              <w:tc>
                <w:tcPr/>
                <w:p>
                  <w:pPr>
                    <w:pStyle w:val="Compact"/>
                    <w:jc w:val="right"/>
                    <w:jc w:val="left"/>
                  </w:pPr>
                  <w:r>
                    <w:t xml:space="preserve">0.007</w:t>
                  </w:r>
                </w:p>
              </w:tc>
              <w:tc>
                <w:tcPr/>
                <w:p>
                  <w:pPr>
                    <w:pStyle w:val="Compact"/>
                    <w:jc w:val="right"/>
                    <w:jc w:val="left"/>
                  </w:pPr>
                  <w:r>
                    <w:t xml:space="preserve">0.714</w:t>
                  </w:r>
                </w:p>
              </w:tc>
              <w:tc>
                <w:tcPr/>
                <w:p>
                  <w:pPr>
                    <w:pStyle w:val="Compact"/>
                    <w:jc w:val="right"/>
                    <w:jc w:val="left"/>
                  </w:pPr>
                  <w:r>
                    <w:t xml:space="preserve">0.030</w:t>
                  </w:r>
                </w:p>
              </w:tc>
              <w:tc>
                <w:tcPr/>
                <w:p>
                  <w:pPr>
                    <w:pStyle w:val="Compact"/>
                    <w:jc w:val="right"/>
                    <w:jc w:val="left"/>
                  </w:pPr>
                  <w:r>
                    <w:t xml:space="preserve">0.024</w:t>
                  </w:r>
                </w:p>
              </w:tc>
              <w:tc>
                <w:tcPr/>
                <w:p>
                  <w:pPr>
                    <w:pStyle w:val="Compact"/>
                    <w:jc w:val="right"/>
                    <w:jc w:val="left"/>
                  </w:pPr>
                  <w:r>
                    <w:t xml:space="preserve">0.014</w:t>
                  </w:r>
                </w:p>
              </w:tc>
            </w:tr>
            <w:tr>
              <w:tc>
                <w:tcPr/>
                <w:p>
                  <w:pPr>
                    <w:pStyle w:val="Compact"/>
                    <w:jc w:val="left"/>
                    <w:jc w:val="left"/>
                  </w:pPr>
                  <w:r>
                    <w:t xml:space="preserve">Inactive long term sick</w:t>
                  </w:r>
                </w:p>
              </w:tc>
              <w:tc>
                <w:tcPr/>
                <w:p>
                  <w:pPr>
                    <w:pStyle w:val="Compact"/>
                    <w:jc w:val="right"/>
                    <w:jc w:val="left"/>
                  </w:pPr>
                  <w:r>
                    <w:t xml:space="preserve">0.045</w:t>
                  </w:r>
                </w:p>
              </w:tc>
              <w:tc>
                <w:tcPr/>
                <w:p>
                  <w:pPr>
                    <w:pStyle w:val="Compact"/>
                    <w:jc w:val="right"/>
                    <w:jc w:val="left"/>
                  </w:pPr>
                  <w:r>
                    <w:t xml:space="preserve">0.076</w:t>
                  </w:r>
                </w:p>
              </w:tc>
              <w:tc>
                <w:tcPr/>
                <w:p>
                  <w:pPr>
                    <w:pStyle w:val="Compact"/>
                    <w:jc w:val="right"/>
                    <w:jc w:val="left"/>
                  </w:pPr>
                  <w:r>
                    <w:t xml:space="preserve">0.002</w:t>
                  </w:r>
                </w:p>
              </w:tc>
              <w:tc>
                <w:tcPr/>
                <w:p>
                  <w:pPr>
                    <w:pStyle w:val="Compact"/>
                    <w:jc w:val="right"/>
                    <w:jc w:val="left"/>
                  </w:pPr>
                  <w:r>
                    <w:t xml:space="preserve">0.066</w:t>
                  </w:r>
                </w:p>
              </w:tc>
              <w:tc>
                <w:tcPr/>
                <w:p>
                  <w:pPr>
                    <w:pStyle w:val="Compact"/>
                    <w:jc w:val="right"/>
                    <w:jc w:val="left"/>
                  </w:pPr>
                  <w:r>
                    <w:t xml:space="preserve">0.763</w:t>
                  </w:r>
                </w:p>
              </w:tc>
              <w:tc>
                <w:tcPr/>
                <w:p>
                  <w:pPr>
                    <w:pStyle w:val="Compact"/>
                    <w:jc w:val="right"/>
                    <w:jc w:val="left"/>
                  </w:pPr>
                  <w:r>
                    <w:t xml:space="preserve">0.042</w:t>
                  </w:r>
                </w:p>
              </w:tc>
              <w:tc>
                <w:tcPr/>
                <w:p>
                  <w:pPr>
                    <w:pStyle w:val="Compact"/>
                    <w:jc w:val="right"/>
                    <w:jc w:val="left"/>
                  </w:pPr>
                  <w:r>
                    <w:t xml:space="preserve">0.005</w:t>
                  </w:r>
                </w:p>
              </w:tc>
            </w:tr>
            <w:tr>
              <w:tc>
                <w:tcPr/>
                <w:p>
                  <w:pPr>
                    <w:pStyle w:val="Compact"/>
                    <w:jc w:val="left"/>
                    <w:jc w:val="left"/>
                  </w:pPr>
                  <w:r>
                    <w:t xml:space="preserve">Inactive retired</w:t>
                  </w:r>
                </w:p>
              </w:tc>
              <w:tc>
                <w:tcPr/>
                <w:p>
                  <w:pPr>
                    <w:pStyle w:val="Compact"/>
                    <w:jc w:val="right"/>
                    <w:jc w:val="left"/>
                  </w:pPr>
                  <w:r>
                    <w:t xml:space="preserve">0.063</w:t>
                  </w:r>
                </w:p>
              </w:tc>
              <w:tc>
                <w:tcPr/>
                <w:p>
                  <w:pPr>
                    <w:pStyle w:val="Compact"/>
                    <w:jc w:val="right"/>
                    <w:jc w:val="left"/>
                  </w:pPr>
                  <w:r>
                    <w:t xml:space="preserve">0.014</w:t>
                  </w:r>
                </w:p>
              </w:tc>
              <w:tc>
                <w:tcPr/>
                <w:p>
                  <w:pPr>
                    <w:pStyle w:val="Compact"/>
                    <w:jc w:val="right"/>
                    <w:jc w:val="left"/>
                  </w:pPr>
                  <w:r>
                    <w:t xml:space="preserve">0.002</w:t>
                  </w:r>
                </w:p>
              </w:tc>
              <w:tc>
                <w:tcPr/>
                <w:p>
                  <w:pPr>
                    <w:pStyle w:val="Compact"/>
                    <w:jc w:val="right"/>
                    <w:jc w:val="left"/>
                  </w:pPr>
                  <w:r>
                    <w:t xml:space="preserve">0.057</w:t>
                  </w:r>
                </w:p>
              </w:tc>
              <w:tc>
                <w:tcPr/>
                <w:p>
                  <w:pPr>
                    <w:pStyle w:val="Compact"/>
                    <w:jc w:val="right"/>
                    <w:jc w:val="left"/>
                  </w:pPr>
                  <w:r>
                    <w:t xml:space="preserve">0.038</w:t>
                  </w:r>
                </w:p>
              </w:tc>
              <w:tc>
                <w:tcPr/>
                <w:p>
                  <w:pPr>
                    <w:pStyle w:val="Compact"/>
                    <w:jc w:val="right"/>
                    <w:jc w:val="left"/>
                  </w:pPr>
                  <w:r>
                    <w:t xml:space="preserve">0.818</w:t>
                  </w:r>
                </w:p>
              </w:tc>
              <w:tc>
                <w:tcPr/>
                <w:p>
                  <w:pPr>
                    <w:pStyle w:val="Compact"/>
                    <w:jc w:val="right"/>
                    <w:jc w:val="left"/>
                  </w:pPr>
                  <w:r>
                    <w:t xml:space="preserve">0.007</w:t>
                  </w:r>
                </w:p>
              </w:tc>
            </w:tr>
            <w:tr>
              <w:tc>
                <w:tcPr/>
                <w:p>
                  <w:pPr>
                    <w:pStyle w:val="Compact"/>
                    <w:jc w:val="left"/>
                    <w:jc w:val="left"/>
                  </w:pPr>
                  <w:r>
                    <w:t xml:space="preserve">Inactive other</w:t>
                  </w:r>
                </w:p>
              </w:tc>
              <w:tc>
                <w:tcPr/>
                <w:p>
                  <w:pPr>
                    <w:pStyle w:val="Compact"/>
                    <w:jc w:val="right"/>
                    <w:jc w:val="left"/>
                  </w:pPr>
                  <w:r>
                    <w:t xml:space="preserve">0.306</w:t>
                  </w:r>
                </w:p>
              </w:tc>
              <w:tc>
                <w:tcPr/>
                <w:p>
                  <w:pPr>
                    <w:pStyle w:val="Compact"/>
                    <w:jc w:val="right"/>
                    <w:jc w:val="left"/>
                  </w:pPr>
                  <w:r>
                    <w:t xml:space="preserve">0.106</w:t>
                  </w:r>
                </w:p>
              </w:tc>
              <w:tc>
                <w:tcPr/>
                <w:p>
                  <w:pPr>
                    <w:pStyle w:val="Compact"/>
                    <w:jc w:val="right"/>
                    <w:jc w:val="left"/>
                  </w:pPr>
                  <w:r>
                    <w:t xml:space="preserve">0.024</w:t>
                  </w:r>
                </w:p>
              </w:tc>
              <w:tc>
                <w:tcPr/>
                <w:p>
                  <w:pPr>
                    <w:pStyle w:val="Compact"/>
                    <w:jc w:val="right"/>
                    <w:jc w:val="left"/>
                  </w:pPr>
                  <w:r>
                    <w:t xml:space="preserve">0.254</w:t>
                  </w:r>
                </w:p>
              </w:tc>
              <w:tc>
                <w:tcPr/>
                <w:p>
                  <w:pPr>
                    <w:pStyle w:val="Compact"/>
                    <w:jc w:val="right"/>
                    <w:jc w:val="left"/>
                  </w:pPr>
                  <w:r>
                    <w:t xml:space="preserve">0.042</w:t>
                  </w:r>
                </w:p>
              </w:tc>
              <w:tc>
                <w:tcPr/>
                <w:p>
                  <w:pPr>
                    <w:pStyle w:val="Compact"/>
                    <w:jc w:val="right"/>
                    <w:jc w:val="left"/>
                  </w:pPr>
                  <w:r>
                    <w:t xml:space="preserve">0.050</w:t>
                  </w:r>
                </w:p>
              </w:tc>
              <w:tc>
                <w:tcPr/>
                <w:p>
                  <w:pPr>
                    <w:pStyle w:val="Compact"/>
                    <w:jc w:val="right"/>
                    <w:jc w:val="left"/>
                  </w:pPr>
                  <w:r>
                    <w:t xml:space="preserve">0.217</w:t>
                  </w:r>
                </w:p>
              </w:tc>
            </w:tr>
          </w:tbl>
          <w:bookmarkEnd w:id="32"/>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33" w:name="tbl-transition-bysex-2"/>
          <w:p>
            <w:pPr>
              <w:jc w:val="left"/>
            </w:pPr>
            <w:pPr>
              <w:jc w:val="center"/>
              <w:spacing w:before="200"/>
              <w:pStyle w:val="ImageCaption"/>
            </w:pPr>
            <w:r>
              <w:t xml:space="preserve">(b) Males</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0.964</w:t>
                  </w:r>
                </w:p>
              </w:tc>
              <w:tc>
                <w:tcPr/>
                <w:p>
                  <w:pPr>
                    <w:pStyle w:val="Compact"/>
                    <w:jc w:val="right"/>
                    <w:jc w:val="left"/>
                  </w:pPr>
                  <w:r>
                    <w:t xml:space="preserve">0.019</w:t>
                  </w:r>
                </w:p>
              </w:tc>
              <w:tc>
                <w:tcPr/>
                <w:p>
                  <w:pPr>
                    <w:pStyle w:val="Compact"/>
                    <w:jc w:val="right"/>
                    <w:jc w:val="left"/>
                  </w:pPr>
                  <w:r>
                    <w:t xml:space="preserve">0.002</w:t>
                  </w:r>
                </w:p>
              </w:tc>
              <w:tc>
                <w:tcPr/>
                <w:p>
                  <w:pPr>
                    <w:pStyle w:val="Compact"/>
                    <w:jc w:val="right"/>
                    <w:jc w:val="left"/>
                  </w:pPr>
                  <w:r>
                    <w:t xml:space="preserve">0.001</w:t>
                  </w:r>
                </w:p>
              </w:tc>
              <w:tc>
                <w:tcPr/>
                <w:p>
                  <w:pPr>
                    <w:pStyle w:val="Compact"/>
                    <w:jc w:val="right"/>
                    <w:jc w:val="left"/>
                  </w:pPr>
                  <w:r>
                    <w:t xml:space="preserve">0.003</w:t>
                  </w:r>
                </w:p>
              </w:tc>
              <w:tc>
                <w:tcPr/>
                <w:p>
                  <w:pPr>
                    <w:pStyle w:val="Compact"/>
                    <w:jc w:val="right"/>
                    <w:jc w:val="left"/>
                  </w:pPr>
                  <w:r>
                    <w:t xml:space="preserve">0.008</w:t>
                  </w:r>
                </w:p>
              </w:tc>
              <w:tc>
                <w:tcPr/>
                <w:p>
                  <w:pPr>
                    <w:pStyle w:val="Compact"/>
                    <w:jc w:val="right"/>
                    <w:jc w:val="left"/>
                  </w:pPr>
                  <w:r>
                    <w:t xml:space="preserve">0.002</w:t>
                  </w:r>
                </w:p>
              </w:tc>
            </w:tr>
            <w:tr>
              <w:tc>
                <w:tcPr/>
                <w:p>
                  <w:pPr>
                    <w:pStyle w:val="Compact"/>
                    <w:jc w:val="left"/>
                    <w:jc w:val="left"/>
                  </w:pPr>
                  <w:r>
                    <w:t xml:space="preserve">Unemployed</w:t>
                  </w:r>
                </w:p>
              </w:tc>
              <w:tc>
                <w:tcPr/>
                <w:p>
                  <w:pPr>
                    <w:pStyle w:val="Compact"/>
                    <w:jc w:val="right"/>
                    <w:jc w:val="left"/>
                  </w:pPr>
                  <w:r>
                    <w:t xml:space="preserve">0.340</w:t>
                  </w:r>
                </w:p>
              </w:tc>
              <w:tc>
                <w:tcPr/>
                <w:p>
                  <w:pPr>
                    <w:pStyle w:val="Compact"/>
                    <w:jc w:val="right"/>
                    <w:jc w:val="left"/>
                  </w:pPr>
                  <w:r>
                    <w:t xml:space="preserve">0.494</w:t>
                  </w:r>
                </w:p>
              </w:tc>
              <w:tc>
                <w:tcPr/>
                <w:p>
                  <w:pPr>
                    <w:pStyle w:val="Compact"/>
                    <w:jc w:val="right"/>
                    <w:jc w:val="left"/>
                  </w:pPr>
                  <w:r>
                    <w:t xml:space="preserve">0.007</w:t>
                  </w:r>
                </w:p>
              </w:tc>
              <w:tc>
                <w:tcPr/>
                <w:p>
                  <w:pPr>
                    <w:pStyle w:val="Compact"/>
                    <w:jc w:val="right"/>
                    <w:jc w:val="left"/>
                  </w:pPr>
                  <w:r>
                    <w:t xml:space="preserve">0.031</w:t>
                  </w:r>
                </w:p>
              </w:tc>
              <w:tc>
                <w:tcPr/>
                <w:p>
                  <w:pPr>
                    <w:pStyle w:val="Compact"/>
                    <w:jc w:val="right"/>
                    <w:jc w:val="left"/>
                  </w:pPr>
                  <w:r>
                    <w:t xml:space="preserve">0.092</w:t>
                  </w:r>
                </w:p>
              </w:tc>
              <w:tc>
                <w:tcPr/>
                <w:p>
                  <w:pPr>
                    <w:pStyle w:val="Compact"/>
                    <w:jc w:val="right"/>
                    <w:jc w:val="left"/>
                  </w:pPr>
                  <w:r>
                    <w:t xml:space="preserve">0.022</w:t>
                  </w:r>
                </w:p>
              </w:tc>
              <w:tc>
                <w:tcPr/>
                <w:p>
                  <w:pPr>
                    <w:pStyle w:val="Compact"/>
                    <w:jc w:val="right"/>
                    <w:jc w:val="left"/>
                  </w:pPr>
                  <w:r>
                    <w:t xml:space="preserve">0.015</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0.382</w:t>
                  </w:r>
                </w:p>
              </w:tc>
              <w:tc>
                <w:tcPr/>
                <w:p>
                  <w:pPr>
                    <w:pStyle w:val="Compact"/>
                    <w:jc w:val="right"/>
                    <w:jc w:val="left"/>
                  </w:pPr>
                  <w:r>
                    <w:t xml:space="preserve">0.107</w:t>
                  </w:r>
                </w:p>
              </w:tc>
              <w:tc>
                <w:tcPr/>
                <w:p>
                  <w:pPr>
                    <w:pStyle w:val="Compact"/>
                    <w:jc w:val="right"/>
                    <w:jc w:val="left"/>
                  </w:pPr>
                  <w:r>
                    <w:t xml:space="preserve">0.469</w:t>
                  </w:r>
                </w:p>
              </w:tc>
              <w:tc>
                <w:tcPr/>
                <w:p>
                  <w:pPr>
                    <w:pStyle w:val="Compact"/>
                    <w:jc w:val="right"/>
                    <w:jc w:val="left"/>
                  </w:pPr>
                  <w:r>
                    <w:t xml:space="preserve">0.011</w:t>
                  </w:r>
                </w:p>
              </w:tc>
              <w:tc>
                <w:tcPr/>
                <w:p>
                  <w:pPr>
                    <w:pStyle w:val="Compact"/>
                    <w:jc w:val="right"/>
                    <w:jc w:val="left"/>
                  </w:pPr>
                  <w:r>
                    <w:t xml:space="preserve">0.016</w:t>
                  </w:r>
                </w:p>
              </w:tc>
              <w:tc>
                <w:tcPr/>
                <w:p>
                  <w:pPr>
                    <w:pStyle w:val="Compact"/>
                    <w:jc w:val="right"/>
                    <w:jc w:val="left"/>
                  </w:pPr>
                  <w:r>
                    <w:t xml:space="preserve">0.002</w:t>
                  </w:r>
                </w:p>
              </w:tc>
              <w:tc>
                <w:tcPr/>
                <w:p>
                  <w:pPr>
                    <w:pStyle w:val="Compact"/>
                    <w:jc w:val="right"/>
                    <w:jc w:val="left"/>
                  </w:pPr>
                  <w:r>
                    <w:t xml:space="preserve">0.014</w:t>
                  </w:r>
                </w:p>
              </w:tc>
            </w:tr>
            <w:tr>
              <w:tc>
                <w:tcPr/>
                <w:p>
                  <w:pPr>
                    <w:pStyle w:val="Compact"/>
                    <w:jc w:val="left"/>
                    <w:jc w:val="left"/>
                  </w:pPr>
                  <w:r>
                    <w:t xml:space="preserve">Inactive care</w:t>
                  </w:r>
                </w:p>
              </w:tc>
              <w:tc>
                <w:tcPr/>
                <w:p>
                  <w:pPr>
                    <w:pStyle w:val="Compact"/>
                    <w:jc w:val="right"/>
                    <w:jc w:val="left"/>
                  </w:pPr>
                  <w:r>
                    <w:t xml:space="preserve">0.156</w:t>
                  </w:r>
                </w:p>
              </w:tc>
              <w:tc>
                <w:tcPr/>
                <w:p>
                  <w:pPr>
                    <w:pStyle w:val="Compact"/>
                    <w:jc w:val="right"/>
                    <w:jc w:val="left"/>
                  </w:pPr>
                  <w:r>
                    <w:t xml:space="preserve">0.155</w:t>
                  </w:r>
                </w:p>
              </w:tc>
              <w:tc>
                <w:tcPr/>
                <w:p>
                  <w:pPr>
                    <w:pStyle w:val="Compact"/>
                    <w:jc w:val="right"/>
                    <w:jc w:val="left"/>
                  </w:pPr>
                  <w:r>
                    <w:t xml:space="preserve">0.005</w:t>
                  </w:r>
                </w:p>
              </w:tc>
              <w:tc>
                <w:tcPr/>
                <w:p>
                  <w:pPr>
                    <w:pStyle w:val="Compact"/>
                    <w:jc w:val="right"/>
                    <w:jc w:val="left"/>
                  </w:pPr>
                  <w:r>
                    <w:t xml:space="preserve">0.553</w:t>
                  </w:r>
                </w:p>
              </w:tc>
              <w:tc>
                <w:tcPr/>
                <w:p>
                  <w:pPr>
                    <w:pStyle w:val="Compact"/>
                    <w:jc w:val="right"/>
                    <w:jc w:val="left"/>
                  </w:pPr>
                  <w:r>
                    <w:t xml:space="preserve">0.030</w:t>
                  </w:r>
                </w:p>
              </w:tc>
              <w:tc>
                <w:tcPr/>
                <w:p>
                  <w:pPr>
                    <w:pStyle w:val="Compact"/>
                    <w:jc w:val="right"/>
                    <w:jc w:val="left"/>
                  </w:pPr>
                  <w:r>
                    <w:t xml:space="preserve">0.028</w:t>
                  </w:r>
                </w:p>
              </w:tc>
              <w:tc>
                <w:tcPr/>
                <w:p>
                  <w:pPr>
                    <w:pStyle w:val="Compact"/>
                    <w:jc w:val="right"/>
                    <w:jc w:val="left"/>
                  </w:pPr>
                  <w:r>
                    <w:t xml:space="preserve">0.073</w:t>
                  </w:r>
                </w:p>
              </w:tc>
            </w:tr>
            <w:tr>
              <w:tc>
                <w:tcPr/>
                <w:p>
                  <w:pPr>
                    <w:pStyle w:val="Compact"/>
                    <w:jc w:val="left"/>
                    <w:jc w:val="left"/>
                  </w:pPr>
                  <w:r>
                    <w:t xml:space="preserve">Inactive long term sick</w:t>
                  </w:r>
                </w:p>
              </w:tc>
              <w:tc>
                <w:tcPr/>
                <w:p>
                  <w:pPr>
                    <w:pStyle w:val="Compact"/>
                    <w:jc w:val="right"/>
                    <w:jc w:val="left"/>
                  </w:pPr>
                  <w:r>
                    <w:t xml:space="preserve">0.043</w:t>
                  </w:r>
                </w:p>
              </w:tc>
              <w:tc>
                <w:tcPr/>
                <w:p>
                  <w:pPr>
                    <w:pStyle w:val="Compact"/>
                    <w:jc w:val="right"/>
                    <w:jc w:val="left"/>
                  </w:pPr>
                  <w:r>
                    <w:t xml:space="preserve">0.104</w:t>
                  </w:r>
                </w:p>
              </w:tc>
              <w:tc>
                <w:tcPr/>
                <w:p>
                  <w:pPr>
                    <w:pStyle w:val="Compact"/>
                    <w:jc w:val="right"/>
                    <w:jc w:val="left"/>
                  </w:pPr>
                  <w:r>
                    <w:t xml:space="preserve">0.002</w:t>
                  </w:r>
                </w:p>
              </w:tc>
              <w:tc>
                <w:tcPr/>
                <w:p>
                  <w:pPr>
                    <w:pStyle w:val="Compact"/>
                    <w:jc w:val="right"/>
                    <w:jc w:val="left"/>
                  </w:pPr>
                  <w:r>
                    <w:t xml:space="preserve">0.010</w:t>
                  </w:r>
                </w:p>
              </w:tc>
              <w:tc>
                <w:tcPr/>
                <w:p>
                  <w:pPr>
                    <w:pStyle w:val="Compact"/>
                    <w:jc w:val="right"/>
                    <w:jc w:val="left"/>
                  </w:pPr>
                  <w:r>
                    <w:t xml:space="preserve">0.790</w:t>
                  </w:r>
                </w:p>
              </w:tc>
              <w:tc>
                <w:tcPr/>
                <w:p>
                  <w:pPr>
                    <w:pStyle w:val="Compact"/>
                    <w:jc w:val="right"/>
                    <w:jc w:val="left"/>
                  </w:pPr>
                  <w:r>
                    <w:t xml:space="preserve">0.045</w:t>
                  </w:r>
                </w:p>
              </w:tc>
              <w:tc>
                <w:tcPr/>
                <w:p>
                  <w:pPr>
                    <w:pStyle w:val="Compact"/>
                    <w:jc w:val="right"/>
                    <w:jc w:val="left"/>
                  </w:pPr>
                  <w:r>
                    <w:t xml:space="preserve">0.007</w:t>
                  </w:r>
                </w:p>
              </w:tc>
            </w:tr>
            <w:tr>
              <w:tc>
                <w:tcPr/>
                <w:p>
                  <w:pPr>
                    <w:pStyle w:val="Compact"/>
                    <w:jc w:val="left"/>
                    <w:jc w:val="left"/>
                  </w:pPr>
                  <w:r>
                    <w:t xml:space="preserve">Inactive retired</w:t>
                  </w:r>
                </w:p>
              </w:tc>
              <w:tc>
                <w:tcPr/>
                <w:p>
                  <w:pPr>
                    <w:pStyle w:val="Compact"/>
                    <w:jc w:val="right"/>
                    <w:jc w:val="left"/>
                  </w:pPr>
                  <w:r>
                    <w:t xml:space="preserve">0.082</w:t>
                  </w:r>
                </w:p>
              </w:tc>
              <w:tc>
                <w:tcPr/>
                <w:p>
                  <w:pPr>
                    <w:pStyle w:val="Compact"/>
                    <w:jc w:val="right"/>
                    <w:jc w:val="left"/>
                  </w:pPr>
                  <w:r>
                    <w:t xml:space="preserve">0.019</w:t>
                  </w:r>
                </w:p>
              </w:tc>
              <w:tc>
                <w:tcPr/>
                <w:p>
                  <w:pPr>
                    <w:pStyle w:val="Compact"/>
                    <w:jc w:val="right"/>
                    <w:jc w:val="left"/>
                  </w:pPr>
                  <w:r>
                    <w:t xml:space="preserve">0.000</w:t>
                  </w:r>
                </w:p>
              </w:tc>
              <w:tc>
                <w:tcPr/>
                <w:p>
                  <w:pPr>
                    <w:pStyle w:val="Compact"/>
                    <w:jc w:val="right"/>
                    <w:jc w:val="left"/>
                  </w:pPr>
                  <w:r>
                    <w:t xml:space="preserve">0.004</w:t>
                  </w:r>
                </w:p>
              </w:tc>
              <w:tc>
                <w:tcPr/>
                <w:p>
                  <w:pPr>
                    <w:pStyle w:val="Compact"/>
                    <w:jc w:val="right"/>
                    <w:jc w:val="left"/>
                  </w:pPr>
                  <w:r>
                    <w:t xml:space="preserve">0.047</w:t>
                  </w:r>
                </w:p>
              </w:tc>
              <w:tc>
                <w:tcPr/>
                <w:p>
                  <w:pPr>
                    <w:pStyle w:val="Compact"/>
                    <w:jc w:val="right"/>
                    <w:jc w:val="left"/>
                  </w:pPr>
                  <w:r>
                    <w:t xml:space="preserve">0.839</w:t>
                  </w:r>
                </w:p>
              </w:tc>
              <w:tc>
                <w:tcPr/>
                <w:p>
                  <w:pPr>
                    <w:pStyle w:val="Compact"/>
                    <w:jc w:val="right"/>
                    <w:jc w:val="left"/>
                  </w:pPr>
                  <w:r>
                    <w:t xml:space="preserve">0.009</w:t>
                  </w:r>
                </w:p>
              </w:tc>
            </w:tr>
            <w:tr>
              <w:tc>
                <w:tcPr/>
                <w:p>
                  <w:pPr>
                    <w:pStyle w:val="Compact"/>
                    <w:jc w:val="left"/>
                    <w:jc w:val="left"/>
                  </w:pPr>
                  <w:r>
                    <w:t xml:space="preserve">Inactive other</w:t>
                  </w:r>
                </w:p>
              </w:tc>
              <w:tc>
                <w:tcPr/>
                <w:p>
                  <w:pPr>
                    <w:pStyle w:val="Compact"/>
                    <w:jc w:val="right"/>
                    <w:jc w:val="left"/>
                  </w:pPr>
                  <w:r>
                    <w:t xml:space="preserve">0.312</w:t>
                  </w:r>
                </w:p>
              </w:tc>
              <w:tc>
                <w:tcPr/>
                <w:p>
                  <w:pPr>
                    <w:pStyle w:val="Compact"/>
                    <w:jc w:val="right"/>
                    <w:jc w:val="left"/>
                  </w:pPr>
                  <w:r>
                    <w:t xml:space="preserve">0.166</w:t>
                  </w:r>
                </w:p>
              </w:tc>
              <w:tc>
                <w:tcPr/>
                <w:p>
                  <w:pPr>
                    <w:pStyle w:val="Compact"/>
                    <w:jc w:val="right"/>
                    <w:jc w:val="left"/>
                  </w:pPr>
                  <w:r>
                    <w:t xml:space="preserve">0.013</w:t>
                  </w:r>
                </w:p>
              </w:tc>
              <w:tc>
                <w:tcPr/>
                <w:p>
                  <w:pPr>
                    <w:pStyle w:val="Compact"/>
                    <w:jc w:val="right"/>
                    <w:jc w:val="left"/>
                  </w:pPr>
                  <w:r>
                    <w:t xml:space="preserve">0.159</w:t>
                  </w:r>
                </w:p>
              </w:tc>
              <w:tc>
                <w:tcPr/>
                <w:p>
                  <w:pPr>
                    <w:pStyle w:val="Compact"/>
                    <w:jc w:val="right"/>
                    <w:jc w:val="left"/>
                  </w:pPr>
                  <w:r>
                    <w:t xml:space="preserve">0.067</w:t>
                  </w:r>
                </w:p>
              </w:tc>
              <w:tc>
                <w:tcPr/>
                <w:p>
                  <w:pPr>
                    <w:pStyle w:val="Compact"/>
                    <w:jc w:val="right"/>
                    <w:jc w:val="left"/>
                  </w:pPr>
                  <w:r>
                    <w:t xml:space="preserve">0.067</w:t>
                  </w:r>
                </w:p>
              </w:tc>
              <w:tc>
                <w:tcPr/>
                <w:p>
                  <w:pPr>
                    <w:pStyle w:val="Compact"/>
                    <w:jc w:val="right"/>
                    <w:jc w:val="left"/>
                  </w:pPr>
                  <w:r>
                    <w:t xml:space="preserve">0.215</w:t>
                  </w:r>
                </w:p>
              </w:tc>
            </w:tr>
          </w:tbl>
          <w:bookmarkEnd w:id="33"/>
          <w:p/>
        </w:tc>
        <w:tc>
          <w:tcPr/>
          <w:p/>
        </w:tc>
      </w:tr>
    </w:tbl>
    <w:p>
      <w:pPr>
        <w:pStyle w:val="BodyText"/>
      </w:pPr>
      <w:pPr>
        <w:spacing w:before="200"/>
        <w:pStyle w:val="ImageCaption"/>
      </w:pPr>
      <w:r>
        <w:t xml:space="preserve">Table 2: Transition probabilities by sex</w:t>
      </w:r>
    </w:p>
    <w:bookmarkEnd w:id="34"/>
    <w:p>
      <w:pPr>
        <w:pStyle w:val="BodyText"/>
      </w:pPr>
      <w:r>
        <w:t xml:space="preserve">The main differences by sex shown in</w:t>
      </w:r>
      <w:r>
        <w:t xml:space="preserve"> </w:t>
      </w:r>
      <w:hyperlink w:anchor="tbl-transition-bysex">
        <w:r>
          <w:rPr>
            <w:rStyle w:val="Hyperlink"/>
          </w:rPr>
          <w:t xml:space="preserve">Table 2</w:t>
        </w:r>
      </w:hyperlink>
      <w:r>
        <w:t xml:space="preserve"> </w:t>
      </w:r>
      <w:r>
        <w:t xml:space="preserve">relates to the full-time care state. For working age females who are unemployed, 20% transition into full-time care the next wave; for males who are unemployed, the rate of transition to full-time care is 3%. The rates of remaining in or moving out of full-time care also differ by sex. For females, the probability of remaining in full-time care between waves is 71%; for males, 55%. Rates transition from full-time care to either long-term sickness or employment are similar by sex, whereas rates of transition from long-term sickness to unemployment (and so job-seeking) are around twice as high for males (16%) than females (8%).</w:t>
      </w:r>
    </w:p>
    <w:p>
      <w:pPr>
        <w:pStyle w:val="BodyText"/>
      </w:pPr>
      <w:r>
        <w:t xml:space="preserve">There are also marked differences in transition probabilities by age group, as illustrated in</w:t>
      </w:r>
      <w:r>
        <w:t xml:space="preserve"> </w:t>
      </w:r>
      <w:hyperlink w:anchor="tbl-transition-byage">
        <w:r>
          <w:rPr>
            <w:rStyle w:val="Hyperlink"/>
          </w:rPr>
          <w:t xml:space="preserve">Table 3</w:t>
        </w:r>
      </w:hyperlink>
      <w:r>
        <w:t xml:space="preserve">, which compares transition probabilities between states for persons aged between 25 and 45 years of age inclusive (</w:t>
      </w:r>
      <w:hyperlink w:anchor="tbl-transition-byage-1">
        <w:r>
          <w:rPr>
            <w:rStyle w:val="Hyperlink"/>
          </w:rPr>
          <w:t xml:space="preserve">Table 3 (a)</w:t>
        </w:r>
      </w:hyperlink>
      <w:r>
        <w:t xml:space="preserve">), with those of working age aged over 45 years of age (</w:t>
      </w:r>
      <w:hyperlink w:anchor="tbl-transition-byage-2">
        <w:r>
          <w:rPr>
            <w:rStyle w:val="Hyperlink"/>
          </w:rPr>
          <w:t xml:space="preserve">Table 3 (b)</w:t>
        </w:r>
      </w:hyperlink>
      <w:r>
        <w:t xml:space="preserve">)</w:t>
      </w:r>
    </w:p>
    <w:bookmarkStart w:id="37" w:name="tbl-transition-byage"/>
    <w:tbl>
      <w:tblPr>
        <w:tblStyle w:val="Table"/>
        <w:tblW w:type="pct" w:w="5000"/>
        <w:tblLook w:firstRow="0" w:lastRow="0" w:firstColumn="0" w:lastColumn="0" w:noHBand="0" w:noVBand="0" w:val="0000"/>
        <w:jc w:val="start"/>
      </w:tblPr>
      <w:tblGrid>
        <w:gridCol w:w="3960"/>
        <w:gridCol w:w="3960"/>
      </w:tblGrid>
      <w:tr>
        <w:tc>
          <w:tcPr/>
          <w:bookmarkStart w:id="35" w:name="tbl-transition-byage-1"/>
          <w:p>
            <w:pPr>
              <w:jc w:val="left"/>
            </w:pPr>
            <w:pPr>
              <w:jc w:val="center"/>
              <w:spacing w:before="200"/>
              <w:pStyle w:val="ImageCaption"/>
            </w:pPr>
            <w:r>
              <w:t xml:space="preserve">(a) Younger (25-45 years of age)</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0.962</w:t>
                  </w:r>
                </w:p>
              </w:tc>
              <w:tc>
                <w:tcPr/>
                <w:p>
                  <w:pPr>
                    <w:pStyle w:val="Compact"/>
                    <w:jc w:val="right"/>
                    <w:jc w:val="left"/>
                  </w:pPr>
                  <w:r>
                    <w:t xml:space="preserve">0.017</w:t>
                  </w:r>
                </w:p>
              </w:tc>
              <w:tc>
                <w:tcPr/>
                <w:p>
                  <w:pPr>
                    <w:pStyle w:val="Compact"/>
                    <w:jc w:val="right"/>
                    <w:jc w:val="left"/>
                  </w:pPr>
                  <w:r>
                    <w:t xml:space="preserve">0.004</w:t>
                  </w:r>
                </w:p>
              </w:tc>
              <w:tc>
                <w:tcPr/>
                <w:p>
                  <w:pPr>
                    <w:pStyle w:val="Compact"/>
                    <w:jc w:val="right"/>
                    <w:jc w:val="left"/>
                  </w:pPr>
                  <w:r>
                    <w:t xml:space="preserve">0.012</w:t>
                  </w:r>
                </w:p>
              </w:tc>
              <w:tc>
                <w:tcPr/>
                <w:p>
                  <w:pPr>
                    <w:pStyle w:val="Compact"/>
                    <w:jc w:val="right"/>
                    <w:jc w:val="left"/>
                  </w:pPr>
                  <w:r>
                    <w:t xml:space="preserve">0.003</w:t>
                  </w:r>
                </w:p>
              </w:tc>
              <w:tc>
                <w:tcPr/>
                <w:p>
                  <w:pPr>
                    <w:pStyle w:val="Compact"/>
                    <w:jc w:val="right"/>
                    <w:jc w:val="left"/>
                  </w:pPr>
                  <w:r>
                    <w:t xml:space="preserve">0.000</w:t>
                  </w:r>
                </w:p>
              </w:tc>
              <w:tc>
                <w:tcPr/>
                <w:p>
                  <w:pPr>
                    <w:pStyle w:val="Compact"/>
                    <w:jc w:val="right"/>
                    <w:jc w:val="left"/>
                  </w:pPr>
                  <w:r>
                    <w:t xml:space="preserve">0.002</w:t>
                  </w:r>
                </w:p>
              </w:tc>
            </w:tr>
            <w:tr>
              <w:tc>
                <w:tcPr/>
                <w:p>
                  <w:pPr>
                    <w:pStyle w:val="Compact"/>
                    <w:jc w:val="left"/>
                    <w:jc w:val="left"/>
                  </w:pPr>
                  <w:r>
                    <w:t xml:space="preserve">Unemployed</w:t>
                  </w:r>
                </w:p>
              </w:tc>
              <w:tc>
                <w:tcPr/>
                <w:p>
                  <w:pPr>
                    <w:pStyle w:val="Compact"/>
                    <w:jc w:val="right"/>
                    <w:jc w:val="left"/>
                  </w:pPr>
                  <w:r>
                    <w:t xml:space="preserve">0.328</w:t>
                  </w:r>
                </w:p>
              </w:tc>
              <w:tc>
                <w:tcPr/>
                <w:p>
                  <w:pPr>
                    <w:pStyle w:val="Compact"/>
                    <w:jc w:val="right"/>
                    <w:jc w:val="left"/>
                  </w:pPr>
                  <w:r>
                    <w:t xml:space="preserve">0.433</w:t>
                  </w:r>
                </w:p>
              </w:tc>
              <w:tc>
                <w:tcPr/>
                <w:p>
                  <w:pPr>
                    <w:pStyle w:val="Compact"/>
                    <w:jc w:val="right"/>
                    <w:jc w:val="left"/>
                  </w:pPr>
                  <w:r>
                    <w:t xml:space="preserve">0.014</w:t>
                  </w:r>
                </w:p>
              </w:tc>
              <w:tc>
                <w:tcPr/>
                <w:p>
                  <w:pPr>
                    <w:pStyle w:val="Compact"/>
                    <w:jc w:val="right"/>
                    <w:jc w:val="left"/>
                  </w:pPr>
                  <w:r>
                    <w:t xml:space="preserve">0.133</w:t>
                  </w:r>
                </w:p>
              </w:tc>
              <w:tc>
                <w:tcPr/>
                <w:p>
                  <w:pPr>
                    <w:pStyle w:val="Compact"/>
                    <w:jc w:val="right"/>
                    <w:jc w:val="left"/>
                  </w:pPr>
                  <w:r>
                    <w:t xml:space="preserve">0.076</w:t>
                  </w:r>
                </w:p>
              </w:tc>
              <w:tc>
                <w:tcPr/>
                <w:p>
                  <w:pPr>
                    <w:pStyle w:val="Compact"/>
                    <w:jc w:val="right"/>
                    <w:jc w:val="left"/>
                  </w:pPr>
                  <w:r>
                    <w:t xml:space="preserve">0.000</w:t>
                  </w:r>
                </w:p>
              </w:tc>
              <w:tc>
                <w:tcPr/>
                <w:p>
                  <w:pPr>
                    <w:pStyle w:val="Compact"/>
                    <w:jc w:val="right"/>
                    <w:jc w:val="left"/>
                  </w:pPr>
                  <w:r>
                    <w:t xml:space="preserve">0.016</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0.364</w:t>
                  </w:r>
                </w:p>
              </w:tc>
              <w:tc>
                <w:tcPr/>
                <w:p>
                  <w:pPr>
                    <w:pStyle w:val="Compact"/>
                    <w:jc w:val="right"/>
                    <w:jc w:val="left"/>
                  </w:pPr>
                  <w:r>
                    <w:t xml:space="preserve">0.088</w:t>
                  </w:r>
                </w:p>
              </w:tc>
              <w:tc>
                <w:tcPr/>
                <w:p>
                  <w:pPr>
                    <w:pStyle w:val="Compact"/>
                    <w:jc w:val="right"/>
                    <w:jc w:val="left"/>
                  </w:pPr>
                  <w:r>
                    <w:t xml:space="preserve">0.472</w:t>
                  </w:r>
                </w:p>
              </w:tc>
              <w:tc>
                <w:tcPr/>
                <w:p>
                  <w:pPr>
                    <w:pStyle w:val="Compact"/>
                    <w:jc w:val="right"/>
                    <w:jc w:val="left"/>
                  </w:pPr>
                  <w:r>
                    <w:t xml:space="preserve">0.050</w:t>
                  </w:r>
                </w:p>
              </w:tc>
              <w:tc>
                <w:tcPr/>
                <w:p>
                  <w:pPr>
                    <w:pStyle w:val="Compact"/>
                    <w:jc w:val="right"/>
                    <w:jc w:val="left"/>
                  </w:pPr>
                  <w:r>
                    <w:t xml:space="preserve">0.014</w:t>
                  </w:r>
                </w:p>
              </w:tc>
              <w:tc>
                <w:tcPr/>
                <w:p>
                  <w:pPr>
                    <w:pStyle w:val="Compact"/>
                    <w:jc w:val="right"/>
                    <w:jc w:val="left"/>
                  </w:pPr>
                  <w:r>
                    <w:t xml:space="preserve">0.001</w:t>
                  </w:r>
                </w:p>
              </w:tc>
              <w:tc>
                <w:tcPr/>
                <w:p>
                  <w:pPr>
                    <w:pStyle w:val="Compact"/>
                    <w:jc w:val="right"/>
                    <w:jc w:val="left"/>
                  </w:pPr>
                  <w:r>
                    <w:t xml:space="preserve">0.012</w:t>
                  </w:r>
                </w:p>
              </w:tc>
            </w:tr>
            <w:tr>
              <w:tc>
                <w:tcPr/>
                <w:p>
                  <w:pPr>
                    <w:pStyle w:val="Compact"/>
                    <w:jc w:val="left"/>
                    <w:jc w:val="left"/>
                  </w:pPr>
                  <w:r>
                    <w:t xml:space="preserve">Inactive care</w:t>
                  </w:r>
                </w:p>
              </w:tc>
              <w:tc>
                <w:tcPr/>
                <w:p>
                  <w:pPr>
                    <w:pStyle w:val="Compact"/>
                    <w:jc w:val="right"/>
                    <w:jc w:val="left"/>
                  </w:pPr>
                  <w:r>
                    <w:t xml:space="preserve">0.153</w:t>
                  </w:r>
                </w:p>
              </w:tc>
              <w:tc>
                <w:tcPr/>
                <w:p>
                  <w:pPr>
                    <w:pStyle w:val="Compact"/>
                    <w:jc w:val="right"/>
                    <w:jc w:val="left"/>
                  </w:pPr>
                  <w:r>
                    <w:t xml:space="preserve">0.081</w:t>
                  </w:r>
                </w:p>
              </w:tc>
              <w:tc>
                <w:tcPr/>
                <w:p>
                  <w:pPr>
                    <w:pStyle w:val="Compact"/>
                    <w:jc w:val="right"/>
                    <w:jc w:val="left"/>
                  </w:pPr>
                  <w:r>
                    <w:t xml:space="preserve">0.009</w:t>
                  </w:r>
                </w:p>
              </w:tc>
              <w:tc>
                <w:tcPr/>
                <w:p>
                  <w:pPr>
                    <w:pStyle w:val="Compact"/>
                    <w:jc w:val="right"/>
                    <w:jc w:val="left"/>
                  </w:pPr>
                  <w:r>
                    <w:t xml:space="preserve">0.723</w:t>
                  </w:r>
                </w:p>
              </w:tc>
              <w:tc>
                <w:tcPr/>
                <w:p>
                  <w:pPr>
                    <w:pStyle w:val="Compact"/>
                    <w:jc w:val="right"/>
                    <w:jc w:val="left"/>
                  </w:pPr>
                  <w:r>
                    <w:t xml:space="preserve">0.021</w:t>
                  </w:r>
                </w:p>
              </w:tc>
              <w:tc>
                <w:tcPr/>
                <w:p>
                  <w:pPr>
                    <w:pStyle w:val="Compact"/>
                    <w:jc w:val="right"/>
                    <w:jc w:val="left"/>
                  </w:pPr>
                  <w:r>
                    <w:t xml:space="preserve">0.000</w:t>
                  </w:r>
                </w:p>
              </w:tc>
              <w:tc>
                <w:tcPr/>
                <w:p>
                  <w:pPr>
                    <w:pStyle w:val="Compact"/>
                    <w:jc w:val="right"/>
                    <w:jc w:val="left"/>
                  </w:pPr>
                  <w:r>
                    <w:t xml:space="preserve">0.013</w:t>
                  </w:r>
                </w:p>
              </w:tc>
            </w:tr>
            <w:tr>
              <w:tc>
                <w:tcPr/>
                <w:p>
                  <w:pPr>
                    <w:pStyle w:val="Compact"/>
                    <w:jc w:val="left"/>
                    <w:jc w:val="left"/>
                  </w:pPr>
                  <w:r>
                    <w:t xml:space="preserve">Inactive long term sick</w:t>
                  </w:r>
                </w:p>
              </w:tc>
              <w:tc>
                <w:tcPr/>
                <w:p>
                  <w:pPr>
                    <w:pStyle w:val="Compact"/>
                    <w:jc w:val="right"/>
                    <w:jc w:val="left"/>
                  </w:pPr>
                  <w:r>
                    <w:t xml:space="preserve">0.066</w:t>
                  </w:r>
                </w:p>
              </w:tc>
              <w:tc>
                <w:tcPr/>
                <w:p>
                  <w:pPr>
                    <w:pStyle w:val="Compact"/>
                    <w:jc w:val="right"/>
                    <w:jc w:val="left"/>
                  </w:pPr>
                  <w:r>
                    <w:t xml:space="preserve">0.117</w:t>
                  </w:r>
                </w:p>
              </w:tc>
              <w:tc>
                <w:tcPr/>
                <w:p>
                  <w:pPr>
                    <w:pStyle w:val="Compact"/>
                    <w:jc w:val="right"/>
                    <w:jc w:val="left"/>
                  </w:pPr>
                  <w:r>
                    <w:t xml:space="preserve">0.005</w:t>
                  </w:r>
                </w:p>
              </w:tc>
              <w:tc>
                <w:tcPr/>
                <w:p>
                  <w:pPr>
                    <w:pStyle w:val="Compact"/>
                    <w:jc w:val="right"/>
                    <w:jc w:val="left"/>
                  </w:pPr>
                  <w:r>
                    <w:t xml:space="preserve">0.060</w:t>
                  </w:r>
                </w:p>
              </w:tc>
              <w:tc>
                <w:tcPr/>
                <w:p>
                  <w:pPr>
                    <w:pStyle w:val="Compact"/>
                    <w:jc w:val="right"/>
                    <w:jc w:val="left"/>
                  </w:pPr>
                  <w:r>
                    <w:t xml:space="preserve">0.740</w:t>
                  </w:r>
                </w:p>
              </w:tc>
              <w:tc>
                <w:tcPr/>
                <w:p>
                  <w:pPr>
                    <w:pStyle w:val="Compact"/>
                    <w:jc w:val="right"/>
                    <w:jc w:val="left"/>
                  </w:pPr>
                  <w:r>
                    <w:t xml:space="preserve">0.004</w:t>
                  </w:r>
                </w:p>
              </w:tc>
              <w:tc>
                <w:tcPr/>
                <w:p>
                  <w:pPr>
                    <w:pStyle w:val="Compact"/>
                    <w:jc w:val="right"/>
                    <w:jc w:val="left"/>
                  </w:pPr>
                  <w:r>
                    <w:t xml:space="preserve">0.008</w:t>
                  </w:r>
                </w:p>
              </w:tc>
            </w:tr>
            <w:tr>
              <w:tc>
                <w:tcPr/>
                <w:p>
                  <w:pPr>
                    <w:pStyle w:val="Compact"/>
                    <w:jc w:val="left"/>
                    <w:jc w:val="left"/>
                  </w:pPr>
                  <w:r>
                    <w:t xml:space="preserve">Inactive retired</w:t>
                  </w:r>
                </w:p>
              </w:tc>
              <w:tc>
                <w:tcPr/>
                <w:p>
                  <w:pPr>
                    <w:pStyle w:val="Compact"/>
                    <w:jc w:val="right"/>
                    <w:jc w:val="left"/>
                  </w:pPr>
                  <w:r>
                    <w:t xml:space="preserve">0.118</w:t>
                  </w:r>
                </w:p>
              </w:tc>
              <w:tc>
                <w:tcPr/>
                <w:p>
                  <w:pPr>
                    <w:pStyle w:val="Compact"/>
                    <w:jc w:val="right"/>
                    <w:jc w:val="left"/>
                  </w:pPr>
                  <w:r>
                    <w:t xml:space="preserve">0.029</w:t>
                  </w:r>
                </w:p>
              </w:tc>
              <w:tc>
                <w:tcPr/>
                <w:p>
                  <w:pPr>
                    <w:pStyle w:val="Compact"/>
                    <w:jc w:val="right"/>
                    <w:jc w:val="left"/>
                  </w:pPr>
                  <w:r>
                    <w:t xml:space="preserve">NA</w:t>
                  </w:r>
                </w:p>
              </w:tc>
              <w:tc>
                <w:tcPr/>
                <w:p>
                  <w:pPr>
                    <w:pStyle w:val="Compact"/>
                    <w:jc w:val="right"/>
                    <w:jc w:val="left"/>
                  </w:pPr>
                  <w:r>
                    <w:t xml:space="preserve">0.029</w:t>
                  </w:r>
                </w:p>
              </w:tc>
              <w:tc>
                <w:tcPr/>
                <w:p>
                  <w:pPr>
                    <w:pStyle w:val="Compact"/>
                    <w:jc w:val="right"/>
                    <w:jc w:val="left"/>
                  </w:pPr>
                  <w:r>
                    <w:t xml:space="preserve">0.382</w:t>
                  </w:r>
                </w:p>
              </w:tc>
              <w:tc>
                <w:tcPr/>
                <w:p>
                  <w:pPr>
                    <w:pStyle w:val="Compact"/>
                    <w:jc w:val="right"/>
                    <w:jc w:val="left"/>
                  </w:pPr>
                  <w:r>
                    <w:t xml:space="preserve">0.441</w:t>
                  </w:r>
                </w:p>
              </w:tc>
              <w:tc>
                <w:tcPr/>
                <w:p>
                  <w:pPr>
                    <w:pStyle w:val="Compact"/>
                    <w:jc w:val="right"/>
                    <w:jc w:val="left"/>
                  </w:pPr>
                  <w:r>
                    <w:t xml:space="preserve">NA</w:t>
                  </w:r>
                </w:p>
              </w:tc>
            </w:tr>
            <w:tr>
              <w:tc>
                <w:tcPr/>
                <w:p>
                  <w:pPr>
                    <w:pStyle w:val="Compact"/>
                    <w:jc w:val="left"/>
                    <w:jc w:val="left"/>
                  </w:pPr>
                  <w:r>
                    <w:t xml:space="preserve">Inactive other</w:t>
                  </w:r>
                </w:p>
              </w:tc>
              <w:tc>
                <w:tcPr/>
                <w:p>
                  <w:pPr>
                    <w:pStyle w:val="Compact"/>
                    <w:jc w:val="right"/>
                    <w:jc w:val="left"/>
                  </w:pPr>
                  <w:r>
                    <w:t xml:space="preserve">0.375</w:t>
                  </w:r>
                </w:p>
              </w:tc>
              <w:tc>
                <w:tcPr/>
                <w:p>
                  <w:pPr>
                    <w:pStyle w:val="Compact"/>
                    <w:jc w:val="right"/>
                    <w:jc w:val="left"/>
                  </w:pPr>
                  <w:r>
                    <w:t xml:space="preserve">0.175</w:t>
                  </w:r>
                </w:p>
              </w:tc>
              <w:tc>
                <w:tcPr/>
                <w:p>
                  <w:pPr>
                    <w:pStyle w:val="Compact"/>
                    <w:jc w:val="right"/>
                    <w:jc w:val="left"/>
                  </w:pPr>
                  <w:r>
                    <w:t xml:space="preserve">0.035</w:t>
                  </w:r>
                </w:p>
              </w:tc>
              <w:tc>
                <w:tcPr/>
                <w:p>
                  <w:pPr>
                    <w:pStyle w:val="Compact"/>
                    <w:jc w:val="right"/>
                    <w:jc w:val="left"/>
                  </w:pPr>
                  <w:r>
                    <w:t xml:space="preserve">0.208</w:t>
                  </w:r>
                </w:p>
              </w:tc>
              <w:tc>
                <w:tcPr/>
                <w:p>
                  <w:pPr>
                    <w:pStyle w:val="Compact"/>
                    <w:jc w:val="right"/>
                    <w:jc w:val="left"/>
                  </w:pPr>
                  <w:r>
                    <w:t xml:space="preserve">0.041</w:t>
                  </w:r>
                </w:p>
              </w:tc>
              <w:tc>
                <w:tcPr/>
                <w:p>
                  <w:pPr>
                    <w:pStyle w:val="Compact"/>
                    <w:jc w:val="right"/>
                    <w:jc w:val="left"/>
                  </w:pPr>
                  <w:r>
                    <w:t xml:space="preserve">NA</w:t>
                  </w:r>
                </w:p>
              </w:tc>
              <w:tc>
                <w:tcPr/>
                <w:p>
                  <w:pPr>
                    <w:pStyle w:val="Compact"/>
                    <w:jc w:val="right"/>
                    <w:jc w:val="left"/>
                  </w:pPr>
                  <w:r>
                    <w:t xml:space="preserve">0.167</w:t>
                  </w:r>
                </w:p>
              </w:tc>
            </w:tr>
          </w:tbl>
          <w:bookmarkEnd w:id="35"/>
          <w:p/>
        </w:tc>
        <w:tc>
          <w:tcP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bookmarkStart w:id="36" w:name="tbl-transition-byage-2"/>
          <w:p>
            <w:pPr>
              <w:jc w:val="left"/>
            </w:pPr>
            <w:pPr>
              <w:jc w:val="center"/>
              <w:spacing w:before="200"/>
              <w:pStyle w:val="ImageCaption"/>
            </w:pPr>
            <w:r>
              <w:t xml:space="preserve">(b) Older (56 years of age and above)</w:t>
            </w:r>
          </w:p>
          <w:tbl>
            <w:tblPr>
              <w:tblStyle w:val="Table"/>
              <w:tblW w:type="pct" w:w="4900"/>
              <w:tblLook w:firstRow="1" w:lastRow="0" w:firstColumn="0" w:lastColumn="0" w:noHBand="0" w:noVBand="0" w:val="0020"/>
              <w:jc w:val="start"/>
            </w:tblPr>
            <w:tblGrid>
              <w:gridCol w:w="970"/>
              <w:gridCol w:w="970"/>
              <w:gridCol w:w="970"/>
              <w:gridCol w:w="970"/>
              <w:gridCol w:w="970"/>
              <w:gridCol w:w="970"/>
              <w:gridCol w:w="970"/>
              <w:gridCol w:w="970"/>
            </w:tblGrid>
            <w:tr>
              <w:trPr>
                <w:tblHeader w:val="true"/>
              </w:trPr>
              <w:tc>
                <w:tcPr/>
                <w:p>
                  <w:pPr>
                    <w:pStyle w:val="Compact"/>
                  </w:pPr>
                </w:p>
              </w:tc>
              <w:tc>
                <w:tcPr>
                  <w:gridSpan w:val="2"/>
                </w:tcPr>
                <w:p>
                  <w:pPr>
                    <w:pStyle w:val="Compact"/>
                    <w:jc w:val="center"/>
                    <w:jc w:val="left"/>
                  </w:pPr>
                  <w:r>
                    <w:t xml:space="preserve">Active</w:t>
                  </w:r>
                </w:p>
              </w:tc>
              <w:tc>
                <w:tcPr>
                  <w:gridSpan w:val="5"/>
                </w:tcPr>
                <w:p>
                  <w:pPr>
                    <w:pStyle w:val="Compact"/>
                    <w:jc w:val="center"/>
                    <w:jc w:val="left"/>
                  </w:pPr>
                  <w:r>
                    <w:t xml:space="preserve">Inactive</w:t>
                  </w:r>
                </w:p>
              </w:tc>
            </w:tr>
            <w:tr>
              <w:trPr>
                <w:tblHeader w:val="true"/>
              </w:trPr>
              <w:tc>
                <w:tcPr/>
                <w:p>
                  <w:pPr>
                    <w:pStyle w:val="Compact"/>
                  </w:pPr>
                </w:p>
              </w:tc>
              <w:tc>
                <w:tcPr/>
                <w:p>
                  <w:pPr>
                    <w:pStyle w:val="Compact"/>
                    <w:jc w:val="right"/>
                    <w:jc w:val="left"/>
                  </w:pPr>
                  <w:r>
                    <w:t xml:space="preserve">Employed</w:t>
                  </w:r>
                </w:p>
              </w:tc>
              <w:tc>
                <w:tcPr/>
                <w:p>
                  <w:pPr>
                    <w:pStyle w:val="Compact"/>
                    <w:jc w:val="right"/>
                    <w:jc w:val="left"/>
                  </w:pPr>
                  <w:r>
                    <w:t xml:space="preserve">Unemployed</w:t>
                  </w:r>
                </w:p>
              </w:tc>
              <w:tc>
                <w:tcPr/>
                <w:p>
                  <w:pPr>
                    <w:pStyle w:val="Compact"/>
                    <w:jc w:val="right"/>
                    <w:jc w:val="left"/>
                  </w:pPr>
                  <w:r>
                    <w:t xml:space="preserve">Inactive student</w:t>
                  </w:r>
                </w:p>
              </w:tc>
              <w:tc>
                <w:tcPr/>
                <w:p>
                  <w:pPr>
                    <w:pStyle w:val="Compact"/>
                    <w:jc w:val="right"/>
                    <w:jc w:val="left"/>
                  </w:pPr>
                  <w:r>
                    <w:t xml:space="preserve">Inactive care</w:t>
                  </w:r>
                </w:p>
              </w:tc>
              <w:tc>
                <w:tcPr/>
                <w:p>
                  <w:pPr>
                    <w:pStyle w:val="Compact"/>
                    <w:jc w:val="right"/>
                    <w:jc w:val="left"/>
                  </w:pPr>
                  <w:r>
                    <w:t xml:space="preserve">Inactive long term sick</w:t>
                  </w:r>
                </w:p>
              </w:tc>
              <w:tc>
                <w:tcPr/>
                <w:p>
                  <w:pPr>
                    <w:pStyle w:val="Compact"/>
                    <w:jc w:val="right"/>
                    <w:jc w:val="left"/>
                  </w:pPr>
                  <w:r>
                    <w:t xml:space="preserve">Inactive retired</w:t>
                  </w:r>
                </w:p>
              </w:tc>
              <w:tc>
                <w:tcPr/>
                <w:p>
                  <w:pPr>
                    <w:pStyle w:val="Compact"/>
                    <w:jc w:val="right"/>
                    <w:jc w:val="left"/>
                  </w:pPr>
                  <w:r>
                    <w:t xml:space="preserve">Inactive other</w:t>
                  </w:r>
                </w:p>
              </w:tc>
            </w:tr>
            <w:tr>
              <w:tc>
                <w:tcPr>
                  <w:gridSpan w:val="8"/>
                </w:tcPr>
                <w:p>
                  <w:pPr>
                    <w:pStyle w:val="Compact"/>
                    <w:jc w:val="left"/>
                    <w:jc w:val="left"/>
                  </w:pPr>
                  <w:r>
                    <w:rPr>
                      <w:bCs/>
                      <w:b/>
                    </w:rPr>
                    <w:t xml:space="preserve">Active</w:t>
                  </w:r>
                </w:p>
              </w:tc>
            </w:tr>
            <w:tr>
              <w:tc>
                <w:tcPr/>
                <w:p>
                  <w:pPr>
                    <w:pStyle w:val="Compact"/>
                    <w:jc w:val="left"/>
                    <w:jc w:val="left"/>
                  </w:pPr>
                  <w:r>
                    <w:t xml:space="preserve">Employed</w:t>
                  </w:r>
                </w:p>
              </w:tc>
              <w:tc>
                <w:tcPr/>
                <w:p>
                  <w:pPr>
                    <w:pStyle w:val="Compact"/>
                    <w:jc w:val="right"/>
                    <w:jc w:val="left"/>
                  </w:pPr>
                  <w:r>
                    <w:t xml:space="preserve">0.948</w:t>
                  </w:r>
                </w:p>
              </w:tc>
              <w:tc>
                <w:tcPr/>
                <w:p>
                  <w:pPr>
                    <w:pStyle w:val="Compact"/>
                    <w:jc w:val="right"/>
                    <w:jc w:val="left"/>
                  </w:pPr>
                  <w:r>
                    <w:t xml:space="preserve">0.017</w:t>
                  </w:r>
                </w:p>
              </w:tc>
              <w:tc>
                <w:tcPr/>
                <w:p>
                  <w:pPr>
                    <w:pStyle w:val="Compact"/>
                    <w:jc w:val="right"/>
                    <w:jc w:val="left"/>
                  </w:pPr>
                  <w:r>
                    <w:t xml:space="preserve">0.001</w:t>
                  </w:r>
                </w:p>
              </w:tc>
              <w:tc>
                <w:tcPr/>
                <w:p>
                  <w:pPr>
                    <w:pStyle w:val="Compact"/>
                    <w:jc w:val="right"/>
                    <w:jc w:val="left"/>
                  </w:pPr>
                  <w:r>
                    <w:t xml:space="preserve">0.006</w:t>
                  </w:r>
                </w:p>
              </w:tc>
              <w:tc>
                <w:tcPr/>
                <w:p>
                  <w:pPr>
                    <w:pStyle w:val="Compact"/>
                    <w:jc w:val="right"/>
                    <w:jc w:val="left"/>
                  </w:pPr>
                  <w:r>
                    <w:t xml:space="preserve">0.005</w:t>
                  </w:r>
                </w:p>
              </w:tc>
              <w:tc>
                <w:tcPr/>
                <w:p>
                  <w:pPr>
                    <w:pStyle w:val="Compact"/>
                    <w:jc w:val="right"/>
                    <w:jc w:val="left"/>
                  </w:pPr>
                  <w:r>
                    <w:t xml:space="preserve">0.020</w:t>
                  </w:r>
                </w:p>
              </w:tc>
              <w:tc>
                <w:tcPr/>
                <w:p>
                  <w:pPr>
                    <w:pStyle w:val="Compact"/>
                    <w:jc w:val="right"/>
                    <w:jc w:val="left"/>
                  </w:pPr>
                  <w:r>
                    <w:t xml:space="preserve">0.003</w:t>
                  </w:r>
                </w:p>
              </w:tc>
            </w:tr>
            <w:tr>
              <w:tc>
                <w:tcPr/>
                <w:p>
                  <w:pPr>
                    <w:pStyle w:val="Compact"/>
                    <w:jc w:val="left"/>
                    <w:jc w:val="left"/>
                  </w:pPr>
                  <w:r>
                    <w:t xml:space="preserve">Unemployed</w:t>
                  </w:r>
                </w:p>
              </w:tc>
              <w:tc>
                <w:tcPr/>
                <w:p>
                  <w:pPr>
                    <w:pStyle w:val="Compact"/>
                    <w:jc w:val="right"/>
                    <w:jc w:val="left"/>
                  </w:pPr>
                  <w:r>
                    <w:t xml:space="preserve">0.283</w:t>
                  </w:r>
                </w:p>
              </w:tc>
              <w:tc>
                <w:tcPr/>
                <w:p>
                  <w:pPr>
                    <w:pStyle w:val="Compact"/>
                    <w:jc w:val="right"/>
                    <w:jc w:val="left"/>
                  </w:pPr>
                  <w:r>
                    <w:t xml:space="preserve">0.435</w:t>
                  </w:r>
                </w:p>
              </w:tc>
              <w:tc>
                <w:tcPr/>
                <w:p>
                  <w:pPr>
                    <w:pStyle w:val="Compact"/>
                    <w:jc w:val="right"/>
                    <w:jc w:val="left"/>
                  </w:pPr>
                  <w:r>
                    <w:t xml:space="preserve">0.003</w:t>
                  </w:r>
                </w:p>
              </w:tc>
              <w:tc>
                <w:tcPr/>
                <w:p>
                  <w:pPr>
                    <w:pStyle w:val="Compact"/>
                    <w:jc w:val="right"/>
                    <w:jc w:val="left"/>
                  </w:pPr>
                  <w:r>
                    <w:t xml:space="preserve">0.090</w:t>
                  </w:r>
                </w:p>
              </w:tc>
              <w:tc>
                <w:tcPr/>
                <w:p>
                  <w:pPr>
                    <w:pStyle w:val="Compact"/>
                    <w:jc w:val="right"/>
                    <w:jc w:val="left"/>
                  </w:pPr>
                  <w:r>
                    <w:t xml:space="preserve">0.121</w:t>
                  </w:r>
                </w:p>
              </w:tc>
              <w:tc>
                <w:tcPr/>
                <w:p>
                  <w:pPr>
                    <w:pStyle w:val="Compact"/>
                    <w:jc w:val="right"/>
                    <w:jc w:val="left"/>
                  </w:pPr>
                  <w:r>
                    <w:t xml:space="preserve">0.052</w:t>
                  </w:r>
                </w:p>
              </w:tc>
              <w:tc>
                <w:tcPr/>
                <w:p>
                  <w:pPr>
                    <w:pStyle w:val="Compact"/>
                    <w:jc w:val="right"/>
                    <w:jc w:val="left"/>
                  </w:pPr>
                  <w:r>
                    <w:t xml:space="preserve">0.015</w:t>
                  </w:r>
                </w:p>
              </w:tc>
            </w:tr>
            <w:tr>
              <w:tc>
                <w:tcPr>
                  <w:gridSpan w:val="8"/>
                </w:tcPr>
                <w:p>
                  <w:pPr>
                    <w:pStyle w:val="Compact"/>
                    <w:jc w:val="left"/>
                    <w:jc w:val="left"/>
                  </w:pPr>
                  <w:r>
                    <w:rPr>
                      <w:bCs/>
                      <w:b/>
                    </w:rPr>
                    <w:t xml:space="preserve">Inactive</w:t>
                  </w:r>
                </w:p>
              </w:tc>
            </w:tr>
            <w:tr>
              <w:tc>
                <w:tcPr/>
                <w:p>
                  <w:pPr>
                    <w:pStyle w:val="Compact"/>
                    <w:jc w:val="left"/>
                    <w:jc w:val="left"/>
                  </w:pPr>
                  <w:r>
                    <w:t xml:space="preserve">Inactive student</w:t>
                  </w:r>
                </w:p>
              </w:tc>
              <w:tc>
                <w:tcPr/>
                <w:p>
                  <w:pPr>
                    <w:pStyle w:val="Compact"/>
                    <w:jc w:val="right"/>
                    <w:jc w:val="left"/>
                  </w:pPr>
                  <w:r>
                    <w:t xml:space="preserve">0.404</w:t>
                  </w:r>
                </w:p>
              </w:tc>
              <w:tc>
                <w:tcPr/>
                <w:p>
                  <w:pPr>
                    <w:pStyle w:val="Compact"/>
                    <w:jc w:val="right"/>
                    <w:jc w:val="left"/>
                  </w:pPr>
                  <w:r>
                    <w:t xml:space="preserve">0.101</w:t>
                  </w:r>
                </w:p>
              </w:tc>
              <w:tc>
                <w:tcPr/>
                <w:p>
                  <w:pPr>
                    <w:pStyle w:val="Compact"/>
                    <w:jc w:val="right"/>
                    <w:jc w:val="left"/>
                  </w:pPr>
                  <w:r>
                    <w:t xml:space="preserve">0.374</w:t>
                  </w:r>
                </w:p>
              </w:tc>
              <w:tc>
                <w:tcPr/>
                <w:p>
                  <w:pPr>
                    <w:pStyle w:val="Compact"/>
                    <w:jc w:val="right"/>
                    <w:jc w:val="left"/>
                  </w:pPr>
                  <w:r>
                    <w:t xml:space="preserve">0.035</w:t>
                  </w:r>
                </w:p>
              </w:tc>
              <w:tc>
                <w:tcPr/>
                <w:p>
                  <w:pPr>
                    <w:pStyle w:val="Compact"/>
                    <w:jc w:val="right"/>
                    <w:jc w:val="left"/>
                  </w:pPr>
                  <w:r>
                    <w:t xml:space="preserve">0.025</w:t>
                  </w:r>
                </w:p>
              </w:tc>
              <w:tc>
                <w:tcPr/>
                <w:p>
                  <w:pPr>
                    <w:pStyle w:val="Compact"/>
                    <w:jc w:val="right"/>
                    <w:jc w:val="left"/>
                  </w:pPr>
                  <w:r>
                    <w:t xml:space="preserve">0.025</w:t>
                  </w:r>
                </w:p>
              </w:tc>
              <w:tc>
                <w:tcPr/>
                <w:p>
                  <w:pPr>
                    <w:pStyle w:val="Compact"/>
                    <w:jc w:val="right"/>
                    <w:jc w:val="left"/>
                  </w:pPr>
                  <w:r>
                    <w:t xml:space="preserve">0.035</w:t>
                  </w:r>
                </w:p>
              </w:tc>
            </w:tr>
            <w:tr>
              <w:tc>
                <w:tcPr/>
                <w:p>
                  <w:pPr>
                    <w:pStyle w:val="Compact"/>
                    <w:jc w:val="left"/>
                    <w:jc w:val="left"/>
                  </w:pPr>
                  <w:r>
                    <w:t xml:space="preserve">Inactive care</w:t>
                  </w:r>
                </w:p>
              </w:tc>
              <w:tc>
                <w:tcPr/>
                <w:p>
                  <w:pPr>
                    <w:pStyle w:val="Compact"/>
                    <w:jc w:val="right"/>
                    <w:jc w:val="left"/>
                  </w:pPr>
                  <w:r>
                    <w:t xml:space="preserve">0.099</w:t>
                  </w:r>
                </w:p>
              </w:tc>
              <w:tc>
                <w:tcPr/>
                <w:p>
                  <w:pPr>
                    <w:pStyle w:val="Compact"/>
                    <w:jc w:val="right"/>
                    <w:jc w:val="left"/>
                  </w:pPr>
                  <w:r>
                    <w:t xml:space="preserve">0.081</w:t>
                  </w:r>
                </w:p>
              </w:tc>
              <w:tc>
                <w:tcPr/>
                <w:p>
                  <w:pPr>
                    <w:pStyle w:val="Compact"/>
                    <w:jc w:val="right"/>
                    <w:jc w:val="left"/>
                  </w:pPr>
                  <w:r>
                    <w:t xml:space="preserve">0.002</w:t>
                  </w:r>
                </w:p>
              </w:tc>
              <w:tc>
                <w:tcPr/>
                <w:p>
                  <w:pPr>
                    <w:pStyle w:val="Compact"/>
                    <w:jc w:val="right"/>
                    <w:jc w:val="left"/>
                  </w:pPr>
                  <w:r>
                    <w:t xml:space="preserve">0.668</w:t>
                  </w:r>
                </w:p>
              </w:tc>
              <w:tc>
                <w:tcPr/>
                <w:p>
                  <w:pPr>
                    <w:pStyle w:val="Compact"/>
                    <w:jc w:val="right"/>
                    <w:jc w:val="left"/>
                  </w:pPr>
                  <w:r>
                    <w:t xml:space="preserve">0.050</w:t>
                  </w:r>
                </w:p>
              </w:tc>
              <w:tc>
                <w:tcPr/>
                <w:p>
                  <w:pPr>
                    <w:pStyle w:val="Compact"/>
                    <w:jc w:val="right"/>
                    <w:jc w:val="left"/>
                  </w:pPr>
                  <w:r>
                    <w:t xml:space="preserve">0.074</w:t>
                  </w:r>
                </w:p>
              </w:tc>
              <w:tc>
                <w:tcPr/>
                <w:p>
                  <w:pPr>
                    <w:pStyle w:val="Compact"/>
                    <w:jc w:val="right"/>
                    <w:jc w:val="left"/>
                  </w:pPr>
                  <w:r>
                    <w:t xml:space="preserve">0.027</w:t>
                  </w:r>
                </w:p>
              </w:tc>
            </w:tr>
            <w:tr>
              <w:tc>
                <w:tcPr/>
                <w:p>
                  <w:pPr>
                    <w:pStyle w:val="Compact"/>
                    <w:jc w:val="left"/>
                    <w:jc w:val="left"/>
                  </w:pPr>
                  <w:r>
                    <w:t xml:space="preserve">Inactive long term sick</w:t>
                  </w:r>
                </w:p>
              </w:tc>
              <w:tc>
                <w:tcPr/>
                <w:p>
                  <w:pPr>
                    <w:pStyle w:val="Compact"/>
                    <w:jc w:val="right"/>
                    <w:jc w:val="left"/>
                  </w:pPr>
                  <w:r>
                    <w:t xml:space="preserve">0.034</w:t>
                  </w:r>
                </w:p>
              </w:tc>
              <w:tc>
                <w:tcPr/>
                <w:p>
                  <w:pPr>
                    <w:pStyle w:val="Compact"/>
                    <w:jc w:val="right"/>
                    <w:jc w:val="left"/>
                  </w:pPr>
                  <w:r>
                    <w:t xml:space="preserve">0.073</w:t>
                  </w:r>
                </w:p>
              </w:tc>
              <w:tc>
                <w:tcPr/>
                <w:p>
                  <w:pPr>
                    <w:pStyle w:val="Compact"/>
                    <w:jc w:val="right"/>
                    <w:jc w:val="left"/>
                  </w:pPr>
                  <w:r>
                    <w:t xml:space="preserve">0.001</w:t>
                  </w:r>
                </w:p>
              </w:tc>
              <w:tc>
                <w:tcPr/>
                <w:p>
                  <w:pPr>
                    <w:pStyle w:val="Compact"/>
                    <w:jc w:val="right"/>
                    <w:jc w:val="left"/>
                  </w:pPr>
                  <w:r>
                    <w:t xml:space="preserve">0.035</w:t>
                  </w:r>
                </w:p>
              </w:tc>
              <w:tc>
                <w:tcPr/>
                <w:p>
                  <w:pPr>
                    <w:pStyle w:val="Compact"/>
                    <w:jc w:val="right"/>
                    <w:jc w:val="left"/>
                  </w:pPr>
                  <w:r>
                    <w:t xml:space="preserve">0.790</w:t>
                  </w:r>
                </w:p>
              </w:tc>
              <w:tc>
                <w:tcPr/>
                <w:p>
                  <w:pPr>
                    <w:pStyle w:val="Compact"/>
                    <w:jc w:val="right"/>
                    <w:jc w:val="left"/>
                  </w:pPr>
                  <w:r>
                    <w:t xml:space="preserve">0.062</w:t>
                  </w:r>
                </w:p>
              </w:tc>
              <w:tc>
                <w:tcPr/>
                <w:p>
                  <w:pPr>
                    <w:pStyle w:val="Compact"/>
                    <w:jc w:val="right"/>
                    <w:jc w:val="left"/>
                  </w:pPr>
                  <w:r>
                    <w:t xml:space="preserve">0.005</w:t>
                  </w:r>
                </w:p>
              </w:tc>
            </w:tr>
            <w:tr>
              <w:tc>
                <w:tcPr/>
                <w:p>
                  <w:pPr>
                    <w:pStyle w:val="Compact"/>
                    <w:jc w:val="left"/>
                    <w:jc w:val="left"/>
                  </w:pPr>
                  <w:r>
                    <w:t xml:space="preserve">Inactive retired</w:t>
                  </w:r>
                </w:p>
              </w:tc>
              <w:tc>
                <w:tcPr/>
                <w:p>
                  <w:pPr>
                    <w:pStyle w:val="Compact"/>
                    <w:jc w:val="right"/>
                    <w:jc w:val="left"/>
                  </w:pPr>
                  <w:r>
                    <w:t xml:space="preserve">0.071</w:t>
                  </w:r>
                </w:p>
              </w:tc>
              <w:tc>
                <w:tcPr/>
                <w:p>
                  <w:pPr>
                    <w:pStyle w:val="Compact"/>
                    <w:jc w:val="right"/>
                    <w:jc w:val="left"/>
                  </w:pPr>
                  <w:r>
                    <w:t xml:space="preserve">0.016</w:t>
                  </w:r>
                </w:p>
              </w:tc>
              <w:tc>
                <w:tcPr/>
                <w:p>
                  <w:pPr>
                    <w:pStyle w:val="Compact"/>
                    <w:jc w:val="right"/>
                    <w:jc w:val="left"/>
                  </w:pPr>
                  <w:r>
                    <w:t xml:space="preserve">0.001</w:t>
                  </w:r>
                </w:p>
              </w:tc>
              <w:tc>
                <w:tcPr/>
                <w:p>
                  <w:pPr>
                    <w:pStyle w:val="Compact"/>
                    <w:jc w:val="right"/>
                    <w:jc w:val="left"/>
                  </w:pPr>
                  <w:r>
                    <w:t xml:space="preserve">0.034</w:t>
                  </w:r>
                </w:p>
              </w:tc>
              <w:tc>
                <w:tcPr/>
                <w:p>
                  <w:pPr>
                    <w:pStyle w:val="Compact"/>
                    <w:jc w:val="right"/>
                    <w:jc w:val="left"/>
                  </w:pPr>
                  <w:r>
                    <w:t xml:space="preserve">0.040</w:t>
                  </w:r>
                </w:p>
              </w:tc>
              <w:tc>
                <w:tcPr/>
                <w:p>
                  <w:pPr>
                    <w:pStyle w:val="Compact"/>
                    <w:jc w:val="right"/>
                    <w:jc w:val="left"/>
                  </w:pPr>
                  <w:r>
                    <w:t xml:space="preserve">0.829</w:t>
                  </w:r>
                </w:p>
              </w:tc>
              <w:tc>
                <w:tcPr/>
                <w:p>
                  <w:pPr>
                    <w:pStyle w:val="Compact"/>
                    <w:jc w:val="right"/>
                    <w:jc w:val="left"/>
                  </w:pPr>
                  <w:r>
                    <w:t xml:space="preserve">0.008</w:t>
                  </w:r>
                </w:p>
              </w:tc>
            </w:tr>
            <w:tr>
              <w:tc>
                <w:tcPr/>
                <w:p>
                  <w:pPr>
                    <w:pStyle w:val="Compact"/>
                    <w:jc w:val="left"/>
                    <w:jc w:val="left"/>
                  </w:pPr>
                  <w:r>
                    <w:t xml:space="preserve">Inactive other</w:t>
                  </w:r>
                </w:p>
              </w:tc>
              <w:tc>
                <w:tcPr/>
                <w:p>
                  <w:pPr>
                    <w:pStyle w:val="Compact"/>
                    <w:jc w:val="right"/>
                    <w:jc w:val="left"/>
                  </w:pPr>
                  <w:r>
                    <w:t xml:space="preserve">0.256</w:t>
                  </w:r>
                </w:p>
              </w:tc>
              <w:tc>
                <w:tcPr/>
                <w:p>
                  <w:pPr>
                    <w:pStyle w:val="Compact"/>
                    <w:jc w:val="right"/>
                    <w:jc w:val="left"/>
                  </w:pPr>
                  <w:r>
                    <w:t xml:space="preserve">0.093</w:t>
                  </w:r>
                </w:p>
              </w:tc>
              <w:tc>
                <w:tcPr/>
                <w:p>
                  <w:pPr>
                    <w:pStyle w:val="Compact"/>
                    <w:jc w:val="right"/>
                    <w:jc w:val="left"/>
                  </w:pPr>
                  <w:r>
                    <w:t xml:space="preserve">0.009</w:t>
                  </w:r>
                </w:p>
              </w:tc>
              <w:tc>
                <w:tcPr/>
                <w:p>
                  <w:pPr>
                    <w:pStyle w:val="Compact"/>
                    <w:jc w:val="right"/>
                    <w:jc w:val="left"/>
                  </w:pPr>
                  <w:r>
                    <w:t xml:space="preserve">0.226</w:t>
                  </w:r>
                </w:p>
              </w:tc>
              <w:tc>
                <w:tcPr/>
                <w:p>
                  <w:pPr>
                    <w:pStyle w:val="Compact"/>
                    <w:jc w:val="right"/>
                    <w:jc w:val="left"/>
                  </w:pPr>
                  <w:r>
                    <w:t xml:space="preserve">0.060</w:t>
                  </w:r>
                </w:p>
              </w:tc>
              <w:tc>
                <w:tcPr/>
                <w:p>
                  <w:pPr>
                    <w:pStyle w:val="Compact"/>
                    <w:jc w:val="right"/>
                    <w:jc w:val="left"/>
                  </w:pPr>
                  <w:r>
                    <w:t xml:space="preserve">0.100</w:t>
                  </w:r>
                </w:p>
              </w:tc>
              <w:tc>
                <w:tcPr/>
                <w:p>
                  <w:pPr>
                    <w:pStyle w:val="Compact"/>
                    <w:jc w:val="right"/>
                    <w:jc w:val="left"/>
                  </w:pPr>
                  <w:r>
                    <w:t xml:space="preserve">0.255</w:t>
                  </w:r>
                </w:p>
              </w:tc>
            </w:tr>
          </w:tbl>
          <w:bookmarkEnd w:id="36"/>
          <w:p/>
        </w:tc>
        <w:tc>
          <w:tcPr/>
          <w:p/>
        </w:tc>
      </w:tr>
    </w:tbl>
    <w:p>
      <w:pPr>
        <w:pStyle w:val="BodyText"/>
      </w:pPr>
      <w:pPr>
        <w:spacing w:before="200"/>
        <w:pStyle w:val="ImageCaption"/>
      </w:pPr>
      <w:r>
        <w:t xml:space="preserve">Table 3: Transition probabilities by broad age group</w:t>
      </w:r>
    </w:p>
    <w:bookmarkEnd w:id="37"/>
    <w:p>
      <w:pPr>
        <w:pStyle w:val="BodyText"/>
      </w:pPr>
      <w:r>
        <w:t xml:space="preserve">As might be expected, the rates of transition into retirement are considerably higher in older ages (</w:t>
      </w:r>
      <w:hyperlink w:anchor="tbl-transition-byage-2">
        <w:r>
          <w:rPr>
            <w:rStyle w:val="Hyperlink"/>
          </w:rPr>
          <w:t xml:space="preserve">Table 3 (b)</w:t>
        </w:r>
      </w:hyperlink>
      <w:r>
        <w:t xml:space="preserve">) than younger ages (</w:t>
      </w:r>
      <w:hyperlink w:anchor="tbl-transition-byage-1">
        <w:r>
          <w:rPr>
            <w:rStyle w:val="Hyperlink"/>
          </w:rPr>
          <w:t xml:space="preserve">Table 3 (a)</w:t>
        </w:r>
      </w:hyperlink>
      <w:r>
        <w:t xml:space="preserve">), and the probabilities of someone remaining retired almost twice as high in older than younger ages. Rates of employment are somewhat higher in the younger ages than higher ages, and so are the probabilities of moving from unemployment to employment. Rates of transition into full-time care are somewhat higher in the younger age category.</w:t>
      </w:r>
    </w:p>
    <w:p>
      <w:pPr>
        <w:pStyle w:val="BodyText"/>
      </w:pPr>
      <w:r>
        <w:t xml:space="preserve">The two age categories presented above are somewhat arbitrary, and do not capture adequately how the probability of being in each of the states, and moving to other states, varies over the working age life course. As an example of this, figure X shows how the probability of remaining employed, unemployed, a full-time carer, a student, or long-term sick varies over five year intervals.</w:t>
      </w:r>
    </w:p>
    <w:tbl>
      <w:tblPr>
        <w:tblStyle w:val="Table"/>
        <w:tblW w:type="pct" w:w="5000"/>
        <w:tblLook w:firstRow="0" w:lastRow="0" w:firstColumn="0" w:lastColumn="0" w:noHBand="0" w:noVBand="0" w:val="0000"/>
        <w:jc w:val="start"/>
      </w:tblPr>
      <w:tblGrid>
        <w:gridCol w:w="7920"/>
      </w:tblGrid>
      <w:tr>
        <w:tc>
          <w:tcPr/>
          <w:bookmarkStart w:id="41" w:name="fig-agesex-stayer"/>
          <w:p>
            <w:pPr>
              <w:jc w:val="center"/>
            </w:pPr>
            <w:r>
              <w:drawing>
                <wp:inline>
                  <wp:extent cx="5334000" cy="4267200"/>
                  <wp:effectExtent b="0" l="0" r="0" t="0"/>
                  <wp:docPr descr="" title="" id="39" name="Picture"/>
                  <a:graphic>
                    <a:graphicData uri="http://schemas.openxmlformats.org/drawingml/2006/picture">
                      <pic:pic>
                        <pic:nvPicPr>
                          <pic:cNvPr descr="paper_01__health_quals_wages_files/figure-docx/fig-agesex-stayer-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Probability of staying in a category by sex and age group</w:t>
            </w:r>
          </w:p>
          <w:bookmarkEnd w:id="41"/>
        </w:tc>
      </w:tr>
    </w:tbl>
    <w:p>
      <w:pPr>
        <w:pStyle w:val="BodyText"/>
      </w:pPr>
      <w:r>
        <w:t xml:space="preserve">These stayer probabilities are somewhat artificial for some ages - for example of remaining retired at ages where retirement is unlikely - but do show how the probabilities of remaining in each state vary over the life course, as well as differ by sex. The probabilities of transition between each of these states also changes over sex and age, and so a foundational model which controls for these varying associations in these standard (unmodifiable) demographic variables is important before reasonable estimates of the additional (potentially modifiable) exposures can be produced. The purpose of the foundational model specification is to do this.</w:t>
      </w:r>
    </w:p>
    <w:bookmarkEnd w:id="42"/>
    <w:bookmarkEnd w:id="43"/>
    <w:bookmarkStart w:id="57" w:name="simulation-model-results"/>
    <w:p>
      <w:pPr>
        <w:pStyle w:val="Heading2"/>
      </w:pPr>
      <w:r>
        <w:t xml:space="preserve">Simulation Model Results</w:t>
      </w:r>
    </w:p>
    <w:bookmarkStart w:id="53" w:name="modelling-health-effects"/>
    <w:p>
      <w:pPr>
        <w:pStyle w:val="Heading3"/>
      </w:pPr>
      <w:r>
        <w:t xml:space="preserve">Modelling health effects</w:t>
      </w:r>
    </w:p>
    <w:p>
      <w:pPr>
        <w:pStyle w:val="FirstParagraph"/>
      </w:pPr>
      <w:r>
        <w:t xml:space="preserve">The effect of suboptimal health as an exposure was assessed using SF-12 scores, subdivided into the physical health and mental health subdomains, and then standardised over the observed population to have a mean of 0 and standard deviation of 1.</w:t>
      </w:r>
    </w:p>
    <w:p>
      <w:pPr>
        <w:pStyle w:val="BodyText"/>
      </w:pPr>
      <w:r>
        <w:t xml:space="preserve">Four different exposure model specifications were considered:</w:t>
      </w:r>
    </w:p>
    <w:p>
      <w:pPr>
        <w:numPr>
          <w:ilvl w:val="0"/>
          <w:numId w:val="1006"/>
        </w:numPr>
        <w:pStyle w:val="Compact"/>
      </w:pPr>
      <w:r>
        <w:rPr>
          <w:rStyle w:val="VerbatimChar"/>
        </w:rPr>
        <w:t xml:space="preserve">mod_mh</w:t>
      </w:r>
      <w:r>
        <w:t xml:space="preserve">: MH only</w:t>
      </w:r>
    </w:p>
    <w:p>
      <w:pPr>
        <w:numPr>
          <w:ilvl w:val="0"/>
          <w:numId w:val="1006"/>
        </w:numPr>
        <w:pStyle w:val="Compact"/>
      </w:pPr>
      <w:r>
        <w:rPr>
          <w:rStyle w:val="VerbatimChar"/>
        </w:rPr>
        <w:t xml:space="preserve">mod_ph</w:t>
      </w:r>
      <w:r>
        <w:t xml:space="preserve">: PH only</w:t>
      </w:r>
    </w:p>
    <w:p>
      <w:pPr>
        <w:numPr>
          <w:ilvl w:val="0"/>
          <w:numId w:val="1006"/>
        </w:numPr>
        <w:pStyle w:val="Compact"/>
      </w:pPr>
      <w:r>
        <w:rPr>
          <w:rStyle w:val="VerbatimChar"/>
        </w:rPr>
        <w:t xml:space="preserve">mod_ph_mh</w:t>
      </w:r>
      <w:r>
        <w:t xml:space="preserve">: MH and PH as independent effects</w:t>
      </w:r>
    </w:p>
    <w:p>
      <w:pPr>
        <w:numPr>
          <w:ilvl w:val="0"/>
          <w:numId w:val="1006"/>
        </w:numPr>
        <w:pStyle w:val="Compact"/>
      </w:pPr>
      <w:r>
        <w:rPr>
          <w:rStyle w:val="VerbatimChar"/>
        </w:rPr>
        <w:t xml:space="preserve">mod_phmh</w:t>
      </w:r>
      <w:r>
        <w:t xml:space="preserve">: MH and PH including an interaction term</w:t>
      </w:r>
    </w:p>
    <w:p>
      <w:pPr>
        <w:pStyle w:val="FirstParagraph"/>
      </w:pPr>
      <w:r>
        <w:t xml:space="preserve">Each of these was compared for penalised model fit against the foundational model specification using AIC and BIC, with lower scores preferred.</w:t>
      </w:r>
    </w:p>
    <w:bookmarkStart w:id="44" w:name="tbl-model_fit_ghq12"/>
    <w:p>
      <w:pPr>
        <w:pStyle w:val="TableCaption"/>
      </w:pPr>
      <w:r>
        <w:t xml:space="preserve">Table 4: AIC and BIC for different model specifications for including health as an exposure</w:t>
      </w:r>
    </w:p>
    <w:tbl>
      <w:tblPr>
        <w:tblStyle w:val="Table"/>
        <w:tblW w:type="auto" w:w="0"/>
        <w:tblLook w:firstRow="1" w:lastRow="0" w:firstColumn="0" w:lastColumn="0" w:noHBand="0" w:noVBand="0" w:val="0020"/>
        <w:jc w:val="start"/>
        <w:tblCaption w:val="Table 4: AIC and BIC for different model specifications for including health as an exposure"/>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right"/>
            </w:pPr>
            <w:r>
              <w:t xml:space="preserve">df</w:t>
            </w:r>
          </w:p>
        </w:tc>
        <w:tc>
          <w:tcPr/>
          <w:p>
            <w:pPr>
              <w:pStyle w:val="Compact"/>
              <w:jc w:val="right"/>
            </w:pPr>
            <w:r>
              <w:t xml:space="preserve">AIC</w:t>
            </w:r>
          </w:p>
        </w:tc>
        <w:tc>
          <w:tcPr/>
          <w:p>
            <w:pPr>
              <w:pStyle w:val="Compact"/>
              <w:jc w:val="right"/>
            </w:pPr>
            <w:r>
              <w:t xml:space="preserve">BIC</w:t>
            </w:r>
          </w:p>
        </w:tc>
        <w:tc>
          <w:tcPr/>
          <w:p>
            <w:pPr>
              <w:pStyle w:val="Compact"/>
              <w:jc w:val="right"/>
            </w:pPr>
            <w:r>
              <w:t xml:space="preserve">aic_rank</w:t>
            </w:r>
          </w:p>
        </w:tc>
        <w:tc>
          <w:tcPr/>
          <w:p>
            <w:pPr>
              <w:pStyle w:val="Compact"/>
              <w:jc w:val="right"/>
            </w:pPr>
            <w:r>
              <w:t xml:space="preserve">bic_rank</w:t>
            </w:r>
          </w:p>
        </w:tc>
      </w:tr>
      <w:tr>
        <w:tc>
          <w:tcPr/>
          <w:p>
            <w:pPr>
              <w:pStyle w:val="Compact"/>
              <w:jc w:val="left"/>
            </w:pPr>
            <w:r>
              <w:t xml:space="preserve">mod_00</w:t>
            </w:r>
          </w:p>
        </w:tc>
        <w:tc>
          <w:tcPr/>
          <w:p>
            <w:pPr>
              <w:pStyle w:val="Compact"/>
              <w:jc w:val="right"/>
            </w:pPr>
            <w:r>
              <w:t xml:space="preserve">126</w:t>
            </w:r>
          </w:p>
        </w:tc>
        <w:tc>
          <w:tcPr/>
          <w:p>
            <w:pPr>
              <w:pStyle w:val="Compact"/>
              <w:jc w:val="right"/>
            </w:pPr>
            <w:r>
              <w:t xml:space="preserve">162676.1</w:t>
            </w:r>
          </w:p>
        </w:tc>
        <w:tc>
          <w:tcPr/>
          <w:p>
            <w:pPr>
              <w:pStyle w:val="Compact"/>
              <w:jc w:val="right"/>
            </w:pPr>
            <w:r>
              <w:t xml:space="preserve">163965.4</w:t>
            </w:r>
          </w:p>
        </w:tc>
        <w:tc>
          <w:tcPr/>
          <w:p>
            <w:pPr>
              <w:pStyle w:val="Compact"/>
              <w:jc w:val="right"/>
            </w:pPr>
            <w:r>
              <w:t xml:space="preserve">5</w:t>
            </w:r>
          </w:p>
        </w:tc>
        <w:tc>
          <w:tcPr/>
          <w:p>
            <w:pPr>
              <w:pStyle w:val="Compact"/>
              <w:jc w:val="right"/>
            </w:pPr>
            <w:r>
              <w:t xml:space="preserve">5</w:t>
            </w:r>
          </w:p>
        </w:tc>
      </w:tr>
      <w:tr>
        <w:tc>
          <w:tcPr/>
          <w:p>
            <w:pPr>
              <w:pStyle w:val="Compact"/>
              <w:jc w:val="left"/>
            </w:pPr>
            <w:r>
              <w:t xml:space="preserve">mod_ph</w:t>
            </w:r>
          </w:p>
        </w:tc>
        <w:tc>
          <w:tcPr/>
          <w:p>
            <w:pPr>
              <w:pStyle w:val="Compact"/>
              <w:jc w:val="right"/>
            </w:pPr>
            <w:r>
              <w:t xml:space="preserve">132</w:t>
            </w:r>
          </w:p>
        </w:tc>
        <w:tc>
          <w:tcPr/>
          <w:p>
            <w:pPr>
              <w:pStyle w:val="Compact"/>
              <w:jc w:val="right"/>
            </w:pPr>
            <w:r>
              <w:t xml:space="preserve">161731.3</w:t>
            </w:r>
          </w:p>
        </w:tc>
        <w:tc>
          <w:tcPr/>
          <w:p>
            <w:pPr>
              <w:pStyle w:val="Compact"/>
              <w:jc w:val="right"/>
            </w:pPr>
            <w:r>
              <w:t xml:space="preserve">163082.0</w:t>
            </w:r>
          </w:p>
        </w:tc>
        <w:tc>
          <w:tcPr/>
          <w:p>
            <w:pPr>
              <w:pStyle w:val="Compact"/>
              <w:jc w:val="right"/>
            </w:pPr>
            <w:r>
              <w:t xml:space="preserve">3</w:t>
            </w:r>
          </w:p>
        </w:tc>
        <w:tc>
          <w:tcPr/>
          <w:p>
            <w:pPr>
              <w:pStyle w:val="Compact"/>
              <w:jc w:val="right"/>
            </w:pPr>
            <w:r>
              <w:t xml:space="preserve">3</w:t>
            </w:r>
          </w:p>
        </w:tc>
      </w:tr>
      <w:tr>
        <w:tc>
          <w:tcPr/>
          <w:p>
            <w:pPr>
              <w:pStyle w:val="Compact"/>
              <w:jc w:val="left"/>
            </w:pPr>
            <w:r>
              <w:t xml:space="preserve">mod_mh</w:t>
            </w:r>
          </w:p>
        </w:tc>
        <w:tc>
          <w:tcPr/>
          <w:p>
            <w:pPr>
              <w:pStyle w:val="Compact"/>
              <w:jc w:val="right"/>
            </w:pPr>
            <w:r>
              <w:t xml:space="preserve">132</w:t>
            </w:r>
          </w:p>
        </w:tc>
        <w:tc>
          <w:tcPr/>
          <w:p>
            <w:pPr>
              <w:pStyle w:val="Compact"/>
              <w:jc w:val="right"/>
            </w:pPr>
            <w:r>
              <w:t xml:space="preserve">161525.6</w:t>
            </w:r>
          </w:p>
        </w:tc>
        <w:tc>
          <w:tcPr/>
          <w:p>
            <w:pPr>
              <w:pStyle w:val="Compact"/>
              <w:jc w:val="right"/>
            </w:pPr>
            <w:r>
              <w:t xml:space="preserve">162876.4</w:t>
            </w:r>
          </w:p>
        </w:tc>
        <w:tc>
          <w:tcPr/>
          <w:p>
            <w:pPr>
              <w:pStyle w:val="Compact"/>
              <w:jc w:val="right"/>
            </w:pPr>
            <w:r>
              <w:t xml:space="preserve">2</w:t>
            </w:r>
          </w:p>
        </w:tc>
        <w:tc>
          <w:tcPr/>
          <w:p>
            <w:pPr>
              <w:pStyle w:val="Compact"/>
              <w:jc w:val="right"/>
            </w:pPr>
            <w:r>
              <w:t xml:space="preserve">2</w:t>
            </w:r>
          </w:p>
        </w:tc>
      </w:tr>
      <w:tr>
        <w:tc>
          <w:tcPr/>
          <w:p>
            <w:pPr>
              <w:pStyle w:val="Compact"/>
              <w:jc w:val="left"/>
            </w:pPr>
            <w:r>
              <w:t xml:space="preserve">mod_ph_mh</w:t>
            </w:r>
          </w:p>
        </w:tc>
        <w:tc>
          <w:tcPr/>
          <w:p>
            <w:pPr>
              <w:pStyle w:val="Compact"/>
              <w:jc w:val="right"/>
            </w:pPr>
            <w:r>
              <w:t xml:space="preserve">138</w:t>
            </w:r>
          </w:p>
        </w:tc>
        <w:tc>
          <w:tcPr/>
          <w:p>
            <w:pPr>
              <w:pStyle w:val="Compact"/>
              <w:jc w:val="right"/>
            </w:pPr>
            <w:r>
              <w:t xml:space="preserve">159786.0</w:t>
            </w:r>
          </w:p>
        </w:tc>
        <w:tc>
          <w:tcPr/>
          <w:p>
            <w:pPr>
              <w:pStyle w:val="Compact"/>
              <w:jc w:val="right"/>
            </w:pPr>
            <w:r>
              <w:t xml:space="preserve">161198.2</w:t>
            </w:r>
          </w:p>
        </w:tc>
        <w:tc>
          <w:tcPr/>
          <w:p>
            <w:pPr>
              <w:pStyle w:val="Compact"/>
              <w:jc w:val="right"/>
            </w:pPr>
            <w:r>
              <w:t xml:space="preserve">1</w:t>
            </w:r>
          </w:p>
        </w:tc>
        <w:tc>
          <w:tcPr/>
          <w:p>
            <w:pPr>
              <w:pStyle w:val="Compact"/>
              <w:jc w:val="right"/>
            </w:pPr>
            <w:r>
              <w:t xml:space="preserve">1</w:t>
            </w:r>
          </w:p>
        </w:tc>
      </w:tr>
      <w:tr>
        <w:tc>
          <w:tcPr/>
          <w:p>
            <w:pPr>
              <w:pStyle w:val="Compact"/>
              <w:jc w:val="left"/>
            </w:pPr>
            <w:r>
              <w:t xml:space="preserve">mod_phmh</w:t>
            </w:r>
          </w:p>
        </w:tc>
        <w:tc>
          <w:tcPr/>
          <w:p>
            <w:pPr>
              <w:pStyle w:val="Compact"/>
              <w:jc w:val="right"/>
            </w:pPr>
            <w:r>
              <w:t xml:space="preserve">144</w:t>
            </w:r>
          </w:p>
        </w:tc>
        <w:tc>
          <w:tcPr/>
          <w:p>
            <w:pPr>
              <w:pStyle w:val="Compact"/>
              <w:jc w:val="right"/>
            </w:pPr>
            <w:r>
              <w:t xml:space="preserve">161874.3</w:t>
            </w:r>
          </w:p>
        </w:tc>
        <w:tc>
          <w:tcPr/>
          <w:p>
            <w:pPr>
              <w:pStyle w:val="Compact"/>
              <w:jc w:val="right"/>
            </w:pPr>
            <w:r>
              <w:t xml:space="preserve">163347.9</w:t>
            </w:r>
          </w:p>
        </w:tc>
        <w:tc>
          <w:tcPr/>
          <w:p>
            <w:pPr>
              <w:pStyle w:val="Compact"/>
              <w:jc w:val="right"/>
            </w:pPr>
            <w:r>
              <w:t xml:space="preserve">4</w:t>
            </w:r>
          </w:p>
        </w:tc>
        <w:tc>
          <w:tcPr/>
          <w:p>
            <w:pPr>
              <w:pStyle w:val="Compact"/>
              <w:jc w:val="right"/>
            </w:pPr>
            <w:r>
              <w:t xml:space="preserve">4</w:t>
            </w:r>
          </w:p>
        </w:tc>
      </w:tr>
    </w:tbl>
    <w:bookmarkEnd w:id="44"/>
    <w:p>
      <w:pPr>
        <w:pStyle w:val="BodyText"/>
      </w:pPr>
      <w:hyperlink w:anchor="tbl-model_fit_ghq12">
        <w:r>
          <w:rPr>
            <w:rStyle w:val="Hyperlink"/>
          </w:rPr>
          <w:t xml:space="preserve">Table 4</w:t>
        </w:r>
      </w:hyperlink>
      <w:r>
        <w:t xml:space="preserve"> </w:t>
      </w:r>
      <w:r>
        <w:t xml:space="preserve">shows that, for the data used here, which starts with populations age age 25 years so that assessments of qualifications use the same data, the specification with independent effects of MH and PH is preferred by both AIC and BIC. Of models including only MH or PH, the model specification for MH is preferred.</w:t>
      </w:r>
    </w:p>
    <w:p>
      <w:pPr>
        <w:pStyle w:val="BodyText"/>
      </w:pPr>
      <w:r>
        <w:t xml:space="preserve">Based on this, we will consider the following scenarios with the following models:</w:t>
      </w:r>
    </w:p>
    <w:p>
      <w:pPr>
        <w:numPr>
          <w:ilvl w:val="0"/>
          <w:numId w:val="1007"/>
        </w:numPr>
        <w:pStyle w:val="Compact"/>
      </w:pPr>
      <w:r>
        <w:t xml:space="preserve">Scenario 1: Mental health only is improved using model</w:t>
      </w:r>
      <w:r>
        <w:t xml:space="preserve"> </w:t>
      </w:r>
      <w:r>
        <w:rPr>
          <w:rStyle w:val="VerbatimChar"/>
        </w:rPr>
        <w:t xml:space="preserve">mod_mh</w:t>
      </w:r>
    </w:p>
    <w:p>
      <w:pPr>
        <w:numPr>
          <w:ilvl w:val="0"/>
          <w:numId w:val="1007"/>
        </w:numPr>
        <w:pStyle w:val="Compact"/>
      </w:pPr>
      <w:r>
        <w:t xml:space="preserve">Scenario 2: Mental health only is improved using model</w:t>
      </w:r>
      <w:r>
        <w:t xml:space="preserve"> </w:t>
      </w:r>
      <w:r>
        <w:rPr>
          <w:rStyle w:val="VerbatimChar"/>
        </w:rPr>
        <w:t xml:space="preserve">mod_ph_mh</w:t>
      </w:r>
    </w:p>
    <w:p>
      <w:pPr>
        <w:numPr>
          <w:ilvl w:val="0"/>
          <w:numId w:val="1007"/>
        </w:numPr>
        <w:pStyle w:val="Compact"/>
      </w:pPr>
      <w:r>
        <w:t xml:space="preserve">Scenario 3: Physical health only is improved using model</w:t>
      </w:r>
      <w:r>
        <w:t xml:space="preserve"> </w:t>
      </w:r>
      <w:r>
        <w:rPr>
          <w:rStyle w:val="VerbatimChar"/>
        </w:rPr>
        <w:t xml:space="preserve">mod_ph_mh</w:t>
      </w:r>
    </w:p>
    <w:p>
      <w:pPr>
        <w:numPr>
          <w:ilvl w:val="0"/>
          <w:numId w:val="1007"/>
        </w:numPr>
        <w:pStyle w:val="Compact"/>
      </w:pPr>
      <w:r>
        <w:t xml:space="preserve">Scenario 4: Mental health and physical health are both improved using</w:t>
      </w:r>
      <w:r>
        <w:t xml:space="preserve"> </w:t>
      </w:r>
      <w:r>
        <w:rPr>
          <w:rStyle w:val="VerbatimChar"/>
        </w:rPr>
        <w:t xml:space="preserve">mod_ph_mh</w:t>
      </w:r>
    </w:p>
    <w:bookmarkStart w:id="48" w:name="Xfb627d6935c930804399f81e8d2e111f541250b"/>
    <w:p>
      <w:pPr>
        <w:pStyle w:val="Heading4"/>
      </w:pPr>
      <w:r>
        <w:t xml:space="preserve">Scenarios 1 and 2: Improving mental health only</w:t>
      </w:r>
    </w:p>
    <w:p>
      <w:pPr>
        <w:pStyle w:val="FirstParagraph"/>
      </w:pPr>
      <w:hyperlink w:anchor="tbl-mh_scenarios">
        <w:r>
          <w:rPr>
            <w:rStyle w:val="Hyperlink"/>
          </w:rPr>
          <w:t xml:space="preserve">Table 5</w:t>
        </w:r>
      </w:hyperlink>
      <w:r>
        <w:t xml:space="preserve"> </w:t>
      </w:r>
      <w:r>
        <w:t xml:space="preserve">shows the predicted effects on the number of people in each economic category of increasing each individual’s mental health by a substantial amount, one standard deviation. The results are based on UKHLS participants for whom relevant information was observed in wave j, the last pre-COVID wave in the dataset.</w:t>
      </w:r>
      <w:r>
        <w:t xml:space="preserve"> </w:t>
      </w:r>
      <w:hyperlink w:anchor="tbl-mh_scenarios-1">
        <w:r>
          <w:rPr>
            <w:rStyle w:val="Hyperlink"/>
          </w:rPr>
          <w:t xml:space="preserve">Table 5 (a)</w:t>
        </w:r>
      </w:hyperlink>
      <w:r>
        <w:t xml:space="preserve"> </w:t>
      </w:r>
      <w:r>
        <w:t xml:space="preserve">is based on the model which includes MH as a driver only, whereas</w:t>
      </w:r>
      <w:r>
        <w:t xml:space="preserve"> </w:t>
      </w:r>
      <w:hyperlink w:anchor="tbl-mh_scenarios-2">
        <w:r>
          <w:rPr>
            <w:rStyle w:val="Hyperlink"/>
          </w:rPr>
          <w:t xml:space="preserve">Table 5 (b)</w:t>
        </w:r>
      </w:hyperlink>
      <w:r>
        <w:t xml:space="preserve"> </w:t>
      </w:r>
      <w:r>
        <w:t xml:space="preserve">is based on the model in which PH is also included as a driver, but in this scenario is not modified.</w:t>
      </w:r>
    </w:p>
    <w:bookmarkStart w:id="47" w:name="tbl-mh_scenarios"/>
    <w:bookmarkStart w:id="45" w:name="tbl-mh_scenarios-1"/>
    <w:p>
      <w:pPr>
        <w:pStyle w:val="TableCaption"/>
      </w:pPr>
      <w:r>
        <w:t xml:space="preserve">(a) Based on MH only model</w:t>
      </w:r>
    </w:p>
    <w:tbl>
      <w:tblPr>
        <w:tblStyle w:val="Table"/>
        <w:tblW w:type="auto" w:w="0"/>
        <w:tblLook w:firstRow="1" w:lastRow="0" w:firstColumn="0" w:lastColumn="0" w:noHBand="0" w:noVBand="0" w:val="0020"/>
        <w:jc w:val="start"/>
        <w:tblCaption w:val="(a) Based on MH only model"/>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12497</w:t>
            </w:r>
          </w:p>
        </w:tc>
        <w:tc>
          <w:tcPr/>
          <w:p>
            <w:pPr>
              <w:pStyle w:val="Compact"/>
              <w:jc w:val="right"/>
            </w:pPr>
            <w:r>
              <w:t xml:space="preserve">12656</w:t>
            </w:r>
          </w:p>
        </w:tc>
        <w:tc>
          <w:tcPr/>
          <w:p>
            <w:pPr>
              <w:pStyle w:val="Compact"/>
              <w:jc w:val="right"/>
            </w:pPr>
            <w:r>
              <w:t xml:space="preserve">159</w:t>
            </w:r>
          </w:p>
        </w:tc>
        <w:tc>
          <w:tcPr/>
          <w:p>
            <w:pPr>
              <w:pStyle w:val="Compact"/>
              <w:jc w:val="left"/>
            </w:pPr>
            <w:r>
              <w:t xml:space="preserve">1.3% up</w:t>
            </w:r>
          </w:p>
        </w:tc>
      </w:tr>
      <w:tr>
        <w:tc>
          <w:tcPr/>
          <w:p>
            <w:pPr>
              <w:pStyle w:val="Compact"/>
              <w:jc w:val="left"/>
            </w:pPr>
            <w:r>
              <w:t xml:space="preserve">Unemployed</w:t>
            </w:r>
          </w:p>
        </w:tc>
        <w:tc>
          <w:tcPr/>
          <w:p>
            <w:pPr>
              <w:pStyle w:val="Compact"/>
              <w:jc w:val="right"/>
            </w:pPr>
            <w:r>
              <w:t xml:space="preserve">638</w:t>
            </w:r>
          </w:p>
        </w:tc>
        <w:tc>
          <w:tcPr/>
          <w:p>
            <w:pPr>
              <w:pStyle w:val="Compact"/>
              <w:jc w:val="right"/>
            </w:pPr>
            <w:r>
              <w:t xml:space="preserve">559</w:t>
            </w:r>
          </w:p>
        </w:tc>
        <w:tc>
          <w:tcPr/>
          <w:p>
            <w:pPr>
              <w:pStyle w:val="Compact"/>
              <w:jc w:val="right"/>
            </w:pPr>
            <w:r>
              <w:t xml:space="preserve">-79</w:t>
            </w:r>
          </w:p>
        </w:tc>
        <w:tc>
          <w:tcPr/>
          <w:p>
            <w:pPr>
              <w:pStyle w:val="Compact"/>
              <w:jc w:val="left"/>
            </w:pPr>
            <w:r>
              <w:t xml:space="preserve">12.4% down</w:t>
            </w:r>
          </w:p>
        </w:tc>
      </w:tr>
      <w:tr>
        <w:tc>
          <w:tcPr/>
          <w:p>
            <w:pPr>
              <w:pStyle w:val="Compact"/>
              <w:jc w:val="left"/>
            </w:pPr>
            <w:r>
              <w:t xml:space="preserve">Inactive student</w:t>
            </w:r>
          </w:p>
        </w:tc>
        <w:tc>
          <w:tcPr/>
          <w:p>
            <w:pPr>
              <w:pStyle w:val="Compact"/>
              <w:jc w:val="right"/>
            </w:pPr>
            <w:r>
              <w:t xml:space="preserve">94</w:t>
            </w:r>
          </w:p>
        </w:tc>
        <w:tc>
          <w:tcPr/>
          <w:p>
            <w:pPr>
              <w:pStyle w:val="Compact"/>
              <w:jc w:val="right"/>
            </w:pPr>
            <w:r>
              <w:t xml:space="preserve">89</w:t>
            </w:r>
          </w:p>
        </w:tc>
        <w:tc>
          <w:tcPr/>
          <w:p>
            <w:pPr>
              <w:pStyle w:val="Compact"/>
              <w:jc w:val="right"/>
            </w:pPr>
            <w:r>
              <w:t xml:space="preserve">-5</w:t>
            </w:r>
          </w:p>
        </w:tc>
        <w:tc>
          <w:tcPr/>
          <w:p>
            <w:pPr>
              <w:pStyle w:val="Compact"/>
              <w:jc w:val="left"/>
            </w:pPr>
            <w:r>
              <w:t xml:space="preserve">5.3% down</w:t>
            </w:r>
          </w:p>
        </w:tc>
      </w:tr>
      <w:tr>
        <w:tc>
          <w:tcPr/>
          <w:p>
            <w:pPr>
              <w:pStyle w:val="Compact"/>
              <w:jc w:val="left"/>
            </w:pPr>
            <w:r>
              <w:t xml:space="preserve">Inactive care</w:t>
            </w:r>
          </w:p>
        </w:tc>
        <w:tc>
          <w:tcPr/>
          <w:p>
            <w:pPr>
              <w:pStyle w:val="Compact"/>
              <w:jc w:val="right"/>
            </w:pPr>
            <w:r>
              <w:t xml:space="preserve">827</w:t>
            </w:r>
          </w:p>
        </w:tc>
        <w:tc>
          <w:tcPr/>
          <w:p>
            <w:pPr>
              <w:pStyle w:val="Compact"/>
              <w:jc w:val="right"/>
            </w:pPr>
            <w:r>
              <w:t xml:space="preserve">846</w:t>
            </w:r>
          </w:p>
        </w:tc>
        <w:tc>
          <w:tcPr/>
          <w:p>
            <w:pPr>
              <w:pStyle w:val="Compact"/>
              <w:jc w:val="right"/>
            </w:pPr>
            <w:r>
              <w:t xml:space="preserve">19</w:t>
            </w:r>
          </w:p>
        </w:tc>
        <w:tc>
          <w:tcPr/>
          <w:p>
            <w:pPr>
              <w:pStyle w:val="Compact"/>
              <w:jc w:val="left"/>
            </w:pPr>
            <w:r>
              <w:t xml:space="preserve">2.3% up</w:t>
            </w:r>
          </w:p>
        </w:tc>
      </w:tr>
      <w:tr>
        <w:tc>
          <w:tcPr/>
          <w:p>
            <w:pPr>
              <w:pStyle w:val="Compact"/>
              <w:jc w:val="left"/>
            </w:pPr>
            <w:r>
              <w:t xml:space="preserve">Inactive long term sick</w:t>
            </w:r>
          </w:p>
        </w:tc>
        <w:tc>
          <w:tcPr/>
          <w:p>
            <w:pPr>
              <w:pStyle w:val="Compact"/>
              <w:jc w:val="right"/>
            </w:pPr>
            <w:r>
              <w:t xml:space="preserve">670</w:t>
            </w:r>
          </w:p>
        </w:tc>
        <w:tc>
          <w:tcPr/>
          <w:p>
            <w:pPr>
              <w:pStyle w:val="Compact"/>
              <w:jc w:val="right"/>
            </w:pPr>
            <w:r>
              <w:t xml:space="preserve">567</w:t>
            </w:r>
          </w:p>
        </w:tc>
        <w:tc>
          <w:tcPr/>
          <w:p>
            <w:pPr>
              <w:pStyle w:val="Compact"/>
              <w:jc w:val="right"/>
            </w:pPr>
            <w:r>
              <w:t xml:space="preserve">-103</w:t>
            </w:r>
          </w:p>
        </w:tc>
        <w:tc>
          <w:tcPr/>
          <w:p>
            <w:pPr>
              <w:pStyle w:val="Compact"/>
              <w:jc w:val="left"/>
            </w:pPr>
            <w:r>
              <w:t xml:space="preserve">15.4% down</w:t>
            </w:r>
          </w:p>
        </w:tc>
      </w:tr>
      <w:tr>
        <w:tc>
          <w:tcPr/>
          <w:p>
            <w:pPr>
              <w:pStyle w:val="Compact"/>
              <w:jc w:val="left"/>
            </w:pPr>
            <w:r>
              <w:t xml:space="preserve">Inactive retired</w:t>
            </w:r>
          </w:p>
        </w:tc>
        <w:tc>
          <w:tcPr/>
          <w:p>
            <w:pPr>
              <w:pStyle w:val="Compact"/>
              <w:jc w:val="right"/>
            </w:pPr>
            <w:r>
              <w:t xml:space="preserve">552</w:t>
            </w:r>
          </w:p>
        </w:tc>
        <w:tc>
          <w:tcPr/>
          <w:p>
            <w:pPr>
              <w:pStyle w:val="Compact"/>
              <w:jc w:val="right"/>
            </w:pPr>
            <w:r>
              <w:t xml:space="preserve">568</w:t>
            </w:r>
          </w:p>
        </w:tc>
        <w:tc>
          <w:tcPr/>
          <w:p>
            <w:pPr>
              <w:pStyle w:val="Compact"/>
              <w:jc w:val="right"/>
            </w:pPr>
            <w:r>
              <w:t xml:space="preserve">16</w:t>
            </w:r>
          </w:p>
        </w:tc>
        <w:tc>
          <w:tcPr/>
          <w:p>
            <w:pPr>
              <w:pStyle w:val="Compact"/>
              <w:jc w:val="left"/>
            </w:pPr>
            <w:r>
              <w:t xml:space="preserve">2.9% up</w:t>
            </w:r>
          </w:p>
        </w:tc>
      </w:tr>
      <w:tr>
        <w:tc>
          <w:tcPr/>
          <w:p>
            <w:pPr>
              <w:pStyle w:val="Compact"/>
              <w:jc w:val="left"/>
            </w:pPr>
            <w:r>
              <w:t xml:space="preserve">Inactive other</w:t>
            </w:r>
          </w:p>
        </w:tc>
        <w:tc>
          <w:tcPr/>
          <w:p>
            <w:pPr>
              <w:pStyle w:val="Compact"/>
              <w:jc w:val="right"/>
            </w:pPr>
            <w:r>
              <w:t xml:space="preserve">80</w:t>
            </w:r>
          </w:p>
        </w:tc>
        <w:tc>
          <w:tcPr/>
          <w:p>
            <w:pPr>
              <w:pStyle w:val="Compact"/>
              <w:jc w:val="right"/>
            </w:pPr>
            <w:r>
              <w:t xml:space="preserve">74</w:t>
            </w:r>
          </w:p>
        </w:tc>
        <w:tc>
          <w:tcPr/>
          <w:p>
            <w:pPr>
              <w:pStyle w:val="Compact"/>
              <w:jc w:val="right"/>
            </w:pPr>
            <w:r>
              <w:t xml:space="preserve">-6</w:t>
            </w:r>
          </w:p>
        </w:tc>
        <w:tc>
          <w:tcPr/>
          <w:p>
            <w:pPr>
              <w:pStyle w:val="Compact"/>
              <w:jc w:val="left"/>
            </w:pPr>
            <w:r>
              <w:t xml:space="preserve">7.5% down</w:t>
            </w:r>
          </w:p>
        </w:tc>
      </w:tr>
    </w:tbl>
    <w:bookmarkEnd w:id="45"/>
    <w:bookmarkStart w:id="46" w:name="tbl-mh_scenarios-2"/>
    <w:p>
      <w:pPr>
        <w:pStyle w:val="TableCaption"/>
      </w:pPr>
      <w:r>
        <w:t xml:space="preserve">(b) Based on MH + PH model</w:t>
      </w:r>
    </w:p>
    <w:tbl>
      <w:tblPr>
        <w:tblStyle w:val="Table"/>
        <w:tblW w:type="auto" w:w="0"/>
        <w:tblLook w:firstRow="1" w:lastRow="0" w:firstColumn="0" w:lastColumn="0" w:noHBand="0" w:noVBand="0" w:val="0020"/>
        <w:jc w:val="start"/>
        <w:tblCaption w:val="(b) Based on MH + PH model"/>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12677</w:t>
            </w:r>
          </w:p>
        </w:tc>
        <w:tc>
          <w:tcPr/>
          <w:p>
            <w:pPr>
              <w:pStyle w:val="Compact"/>
              <w:jc w:val="right"/>
            </w:pPr>
            <w:r>
              <w:t xml:space="preserve">147</w:t>
            </w:r>
          </w:p>
        </w:tc>
        <w:tc>
          <w:tcPr/>
          <w:p>
            <w:pPr>
              <w:pStyle w:val="Compact"/>
              <w:jc w:val="left"/>
            </w:pPr>
            <w:r>
              <w:t xml:space="preserve">1.2%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560</w:t>
            </w:r>
          </w:p>
        </w:tc>
        <w:tc>
          <w:tcPr/>
          <w:p>
            <w:pPr>
              <w:pStyle w:val="Compact"/>
              <w:jc w:val="right"/>
            </w:pPr>
            <w:r>
              <w:t xml:space="preserve">-59</w:t>
            </w:r>
          </w:p>
        </w:tc>
        <w:tc>
          <w:tcPr/>
          <w:p>
            <w:pPr>
              <w:pStyle w:val="Compact"/>
              <w:jc w:val="left"/>
            </w:pPr>
            <w:r>
              <w:t xml:space="preserve">9.5%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91</w:t>
            </w:r>
          </w:p>
        </w:tc>
        <w:tc>
          <w:tcPr/>
          <w:p>
            <w:pPr>
              <w:pStyle w:val="Compact"/>
              <w:jc w:val="right"/>
            </w:pPr>
            <w:r>
              <w:t xml:space="preserve">3</w:t>
            </w:r>
          </w:p>
        </w:tc>
        <w:tc>
          <w:tcPr/>
          <w:p>
            <w:pPr>
              <w:pStyle w:val="Compact"/>
              <w:jc w:val="left"/>
            </w:pPr>
            <w:r>
              <w:t xml:space="preserve">3.4%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867</w:t>
            </w:r>
          </w:p>
        </w:tc>
        <w:tc>
          <w:tcPr/>
          <w:p>
            <w:pPr>
              <w:pStyle w:val="Compact"/>
              <w:jc w:val="right"/>
            </w:pPr>
            <w:r>
              <w:t xml:space="preserve">10</w:t>
            </w:r>
          </w:p>
        </w:tc>
        <w:tc>
          <w:tcPr/>
          <w:p>
            <w:pPr>
              <w:pStyle w:val="Compact"/>
              <w:jc w:val="left"/>
            </w:pPr>
            <w:r>
              <w:t xml:space="preserve">1.2% up</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572</w:t>
            </w:r>
          </w:p>
        </w:tc>
        <w:tc>
          <w:tcPr/>
          <w:p>
            <w:pPr>
              <w:pStyle w:val="Compact"/>
              <w:jc w:val="right"/>
            </w:pPr>
            <w:r>
              <w:t xml:space="preserve">-109</w:t>
            </w:r>
          </w:p>
        </w:tc>
        <w:tc>
          <w:tcPr/>
          <w:p>
            <w:pPr>
              <w:pStyle w:val="Compact"/>
              <w:jc w:val="left"/>
            </w:pPr>
            <w:r>
              <w:t xml:space="preserve">16%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530</w:t>
            </w:r>
          </w:p>
        </w:tc>
        <w:tc>
          <w:tcPr/>
          <w:p>
            <w:pPr>
              <w:pStyle w:val="Compact"/>
              <w:jc w:val="right"/>
            </w:pPr>
            <w:r>
              <w:t xml:space="preserve">10</w:t>
            </w:r>
          </w:p>
        </w:tc>
        <w:tc>
          <w:tcPr/>
          <w:p>
            <w:pPr>
              <w:pStyle w:val="Compact"/>
              <w:jc w:val="left"/>
            </w:pPr>
            <w:r>
              <w:t xml:space="preserve">1.9%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61</w:t>
            </w:r>
          </w:p>
        </w:tc>
        <w:tc>
          <w:tcPr/>
          <w:p>
            <w:pPr>
              <w:pStyle w:val="Compact"/>
              <w:jc w:val="right"/>
            </w:pPr>
            <w:r>
              <w:t xml:space="preserve">-5</w:t>
            </w:r>
          </w:p>
        </w:tc>
        <w:tc>
          <w:tcPr/>
          <w:p>
            <w:pPr>
              <w:pStyle w:val="Compact"/>
              <w:jc w:val="left"/>
            </w:pPr>
            <w:r>
              <w:t xml:space="preserve">7.6% down</w:t>
            </w:r>
          </w:p>
        </w:tc>
      </w:tr>
    </w:tbl>
    <w:bookmarkEnd w:id="46"/>
    <w:p>
      <w:pPr>
        <w:pStyle w:val="BodyText"/>
      </w:pPr>
      <w:r>
        <w:t xml:space="preserve">Table 5: Estimates of substantially improving Mental Health</w:t>
      </w:r>
    </w:p>
    <w:bookmarkEnd w:id="47"/>
    <w:p>
      <w:pPr>
        <w:pStyle w:val="BodyText"/>
      </w:pPr>
      <w:r>
        <w:t xml:space="preserve">The two models whose results are shown in</w:t>
      </w:r>
      <w:r>
        <w:t xml:space="preserve"> </w:t>
      </w:r>
      <w:hyperlink w:anchor="tbl-mh_scenarios">
        <w:r>
          <w:rPr>
            <w:rStyle w:val="Hyperlink"/>
          </w:rPr>
          <w:t xml:space="preserve">Table 5</w:t>
        </w:r>
      </w:hyperlink>
      <w:r>
        <w:t xml:space="preserve"> </w:t>
      </w:r>
      <w:r>
        <w:t xml:space="preserve">produce similar but not identical estimates on the effect of improving mental health on the number of people in each state in the following wave. Compared with the baseline scenario in which no one’s MH is changed, in the counterfactual scenario in which MH is substantially there is around a 1.2 to 1.3% increase in the size of the employed population, and the size of the unemployed population is reduced by around a tenth. The most substantive relative change in state population size is in the economically inactive, long-term sick state, whose population size is predicted to fall by at least 15.4%, based on the first model, and by 16.0% based on the second model.</w:t>
      </w:r>
    </w:p>
    <w:bookmarkEnd w:id="48"/>
    <w:bookmarkStart w:id="50" w:name="X2c969e48095fe6335b67eb9d152c20de00c39e5"/>
    <w:p>
      <w:pPr>
        <w:pStyle w:val="Heading4"/>
      </w:pPr>
      <w:r>
        <w:t xml:space="preserve">Scenario 3: Improving physical health only</w:t>
      </w:r>
    </w:p>
    <w:p>
      <w:pPr>
        <w:pStyle w:val="FirstParagraph"/>
      </w:pPr>
      <w:hyperlink w:anchor="tbl-ph_scenario">
        <w:r>
          <w:rPr>
            <w:rStyle w:val="Hyperlink"/>
          </w:rPr>
          <w:t xml:space="preserve">Table 6</w:t>
        </w:r>
      </w:hyperlink>
      <w:r>
        <w:t xml:space="preserve"> </w:t>
      </w:r>
      <w:r>
        <w:t xml:space="preserve">shows the estimated impact on state sizes of substantially improving physical health. As with the MH intervention scenarios, in the counterfactual scenario PH scores were improved by one standardised unit for all valid wave J observations. The model</w:t>
      </w:r>
      <w:r>
        <w:t xml:space="preserve"> </w:t>
      </w:r>
      <w:r>
        <w:rPr>
          <w:rStyle w:val="VerbatimChar"/>
        </w:rPr>
        <w:t xml:space="preserve">mod_ph_mh</w:t>
      </w:r>
      <w:r>
        <w:t xml:space="preserve"> </w:t>
      </w:r>
      <w:r>
        <w:t xml:space="preserve">was used for this scenario calculation.</w:t>
      </w:r>
    </w:p>
    <w:bookmarkStart w:id="49" w:name="tbl-ph_scenario"/>
    <w:p>
      <w:pPr>
        <w:pStyle w:val="TableCaption"/>
      </w:pPr>
      <w:r>
        <w:t xml:space="preserve">Table 6: Estimates of substantially improving Physical Health</w:t>
      </w:r>
    </w:p>
    <w:tbl>
      <w:tblPr>
        <w:tblStyle w:val="Table"/>
        <w:tblW w:type="auto" w:w="0"/>
        <w:tblLook w:firstRow="1" w:lastRow="0" w:firstColumn="0" w:lastColumn="0" w:noHBand="0" w:noVBand="0" w:val="0020"/>
        <w:jc w:val="start"/>
        <w:tblCaption w:val="Table 6: Estimates of substantially improving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12812</w:t>
            </w:r>
          </w:p>
        </w:tc>
        <w:tc>
          <w:tcPr/>
          <w:p>
            <w:pPr>
              <w:pStyle w:val="Compact"/>
              <w:jc w:val="right"/>
            </w:pPr>
            <w:r>
              <w:t xml:space="preserve">282</w:t>
            </w:r>
          </w:p>
        </w:tc>
        <w:tc>
          <w:tcPr/>
          <w:p>
            <w:pPr>
              <w:pStyle w:val="Compact"/>
              <w:jc w:val="left"/>
            </w:pPr>
            <w:r>
              <w:t xml:space="preserve">2.3%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541</w:t>
            </w:r>
          </w:p>
        </w:tc>
        <w:tc>
          <w:tcPr/>
          <w:p>
            <w:pPr>
              <w:pStyle w:val="Compact"/>
              <w:jc w:val="right"/>
            </w:pPr>
            <w:r>
              <w:t xml:space="preserve">-78</w:t>
            </w:r>
          </w:p>
        </w:tc>
        <w:tc>
          <w:tcPr/>
          <w:p>
            <w:pPr>
              <w:pStyle w:val="Compact"/>
              <w:jc w:val="left"/>
            </w:pPr>
            <w:r>
              <w:t xml:space="preserve">12.6%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92</w:t>
            </w:r>
          </w:p>
        </w:tc>
        <w:tc>
          <w:tcPr/>
          <w:p>
            <w:pPr>
              <w:pStyle w:val="Compact"/>
              <w:jc w:val="right"/>
            </w:pPr>
            <w:r>
              <w:t xml:space="preserve">4</w:t>
            </w:r>
          </w:p>
        </w:tc>
        <w:tc>
          <w:tcPr/>
          <w:p>
            <w:pPr>
              <w:pStyle w:val="Compact"/>
              <w:jc w:val="left"/>
            </w:pPr>
            <w:r>
              <w:t xml:space="preserve">4.5%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831</w:t>
            </w:r>
          </w:p>
        </w:tc>
        <w:tc>
          <w:tcPr/>
          <w:p>
            <w:pPr>
              <w:pStyle w:val="Compact"/>
              <w:jc w:val="right"/>
            </w:pPr>
            <w:r>
              <w:t xml:space="preserve">-26</w:t>
            </w:r>
          </w:p>
        </w:tc>
        <w:tc>
          <w:tcPr/>
          <w:p>
            <w:pPr>
              <w:pStyle w:val="Compact"/>
              <w:jc w:val="left"/>
            </w:pPr>
            <w:r>
              <w:t xml:space="preserve">3% down</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494</w:t>
            </w:r>
          </w:p>
        </w:tc>
        <w:tc>
          <w:tcPr/>
          <w:p>
            <w:pPr>
              <w:pStyle w:val="Compact"/>
              <w:jc w:val="right"/>
            </w:pPr>
            <w:r>
              <w:t xml:space="preserve">-187</w:t>
            </w:r>
          </w:p>
        </w:tc>
        <w:tc>
          <w:tcPr/>
          <w:p>
            <w:pPr>
              <w:pStyle w:val="Compact"/>
              <w:jc w:val="left"/>
            </w:pPr>
            <w:r>
              <w:t xml:space="preserve">27.5%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521</w:t>
            </w:r>
          </w:p>
        </w:tc>
        <w:tc>
          <w:tcPr/>
          <w:p>
            <w:pPr>
              <w:pStyle w:val="Compact"/>
              <w:jc w:val="right"/>
            </w:pPr>
            <w:r>
              <w:t xml:space="preserve">1</w:t>
            </w:r>
          </w:p>
        </w:tc>
        <w:tc>
          <w:tcPr/>
          <w:p>
            <w:pPr>
              <w:pStyle w:val="Compact"/>
              <w:jc w:val="left"/>
            </w:pPr>
            <w:r>
              <w:t xml:space="preserve">0.2%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70</w:t>
            </w:r>
          </w:p>
        </w:tc>
        <w:tc>
          <w:tcPr/>
          <w:p>
            <w:pPr>
              <w:pStyle w:val="Compact"/>
              <w:jc w:val="right"/>
            </w:pPr>
            <w:r>
              <w:t xml:space="preserve">4</w:t>
            </w:r>
          </w:p>
        </w:tc>
        <w:tc>
          <w:tcPr/>
          <w:p>
            <w:pPr>
              <w:pStyle w:val="Compact"/>
              <w:jc w:val="left"/>
            </w:pPr>
            <w:r>
              <w:t xml:space="preserve">6.1% up</w:t>
            </w:r>
          </w:p>
        </w:tc>
      </w:tr>
    </w:tbl>
    <w:bookmarkEnd w:id="49"/>
    <w:p>
      <w:pPr>
        <w:pStyle w:val="BodyText"/>
      </w:pPr>
      <w:r>
        <w:t xml:space="preserve">The scenario indicates that a substantial improvement on physical health could have an even larger effect on the size of the long-term sick population than a similarly sized improvement in mental health. In this scenario, the size of the long-term sick population falls by more than a quarter. The size of the unemployed population also is estimated to change substantially, falling by 12.6%.</w:t>
      </w:r>
    </w:p>
    <w:bookmarkEnd w:id="50"/>
    <w:bookmarkStart w:id="52" w:name="Xebd592ec6797f21cc8ab986c68001b66bd0f0fd"/>
    <w:p>
      <w:pPr>
        <w:pStyle w:val="Heading4"/>
      </w:pPr>
      <w:r>
        <w:t xml:space="preserve">Scenario 4: Improving mental and physical health</w:t>
      </w:r>
    </w:p>
    <w:p>
      <w:pPr>
        <w:pStyle w:val="FirstParagraph"/>
      </w:pPr>
      <w:r>
        <w:t xml:space="preserve">There is no single</w:t>
      </w:r>
      <w:r>
        <w:t xml:space="preserve"> </w:t>
      </w:r>
      <w:r>
        <w:rPr>
          <w:rStyle w:val="VerbatimChar"/>
        </w:rPr>
        <w:t xml:space="preserve">health</w:t>
      </w:r>
      <w:r>
        <w:t xml:space="preserve"> </w:t>
      </w:r>
      <w:r>
        <w:t xml:space="preserve">driver/exposure included in the model. Instead there are separate mental health and physical health exposures. However both mental health and physical health have been standardised, meaning we can model a scenario in which</w:t>
      </w:r>
      <w:r>
        <w:t xml:space="preserve"> </w:t>
      </w:r>
      <w:r>
        <w:t xml:space="preserve">‘</w:t>
      </w:r>
      <w:r>
        <w:t xml:space="preserve">health</w:t>
      </w:r>
      <w:r>
        <w:t xml:space="preserve">’</w:t>
      </w:r>
      <w:r>
        <w:t xml:space="preserve"> </w:t>
      </w:r>
      <w:r>
        <w:t xml:space="preserve">has been improved, and the effect of these health improvements is equal across the mental and and physical health subdomains. In order to ensure we are looking at the effect of the type of the driver being modified, rather than the amount of change we are making to these drivers, we need to employ a little trigonometry. If we were to modify both MH and PH by one standard unit, the total amount of change in</w:t>
      </w:r>
      <w:r>
        <w:t xml:space="preserve"> </w:t>
      </w:r>
      <w:r>
        <w:t xml:space="preserve">‘</w:t>
      </w:r>
      <w:r>
        <w:t xml:space="preserve">health</w:t>
      </w:r>
      <w:r>
        <w:t xml:space="preserve">’</w:t>
      </w:r>
      <w:r>
        <w:t xml:space="preserve"> </w:t>
      </w:r>
      <w:r>
        <w:t xml:space="preserve">would be the hypotenuse of a triangle in which both MH and PH are</w:t>
      </w:r>
      <w:r>
        <w:t xml:space="preserve"> </w:t>
      </w:r>
      <w:r>
        <w:t xml:space="preserve">‘</w:t>
      </w:r>
      <w:r>
        <w:t xml:space="preserve">legs</w:t>
      </w:r>
      <w:r>
        <w:t xml:space="preserve">’</w:t>
      </w:r>
      <w:r>
        <w:t xml:space="preserve">, i.e. </w:t>
      </w:r>
      <m:oMath>
        <m:rad>
          <m:radPr>
            <m:degHide m:val="1"/>
          </m:radPr>
          <m:deg/>
          <m:e>
            <m:sSup>
              <m:e>
                <m:r>
                  <m:t>1</m:t>
                </m:r>
              </m:e>
              <m:sup>
                <m:r>
                  <m:t>2</m:t>
                </m:r>
              </m:sup>
            </m:sSup>
            <m:r>
              <m:rPr>
                <m:sty m:val="p"/>
              </m:rPr>
              <m:t>+</m:t>
            </m:r>
            <m:sSup>
              <m:e>
                <m:r>
                  <m:t>1</m:t>
                </m:r>
              </m:e>
              <m:sup>
                <m:r>
                  <m:t>2</m:t>
                </m:r>
              </m:sup>
            </m:sSup>
          </m:e>
        </m:rad>
      </m:oMath>
      <w:r>
        <w:t xml:space="preserve"> </w:t>
      </w:r>
      <w:r>
        <w:t xml:space="preserve">or</w:t>
      </w:r>
      <w:r>
        <w:t xml:space="preserve"> </w:t>
      </w:r>
      <m:oMath>
        <m:rad>
          <m:radPr>
            <m:degHide m:val="1"/>
          </m:radPr>
          <m:deg/>
          <m:e>
            <m:r>
              <m:t>2</m:t>
            </m:r>
          </m:e>
        </m:rad>
      </m:oMath>
      <w:r>
        <w:t xml:space="preserve">, which is 1.41 to two decimal places, and so larger than either of the previous exposure reductions being modelled. In order to work out the amount of equal change across both</w:t>
      </w:r>
      <w:r>
        <w:t xml:space="preserve"> </w:t>
      </w:r>
      <w:r>
        <w:t xml:space="preserve">‘</w:t>
      </w:r>
      <w:r>
        <w:t xml:space="preserve">legs</w:t>
      </w:r>
      <w:r>
        <w:t xml:space="preserve">’</w:t>
      </w:r>
      <w:r>
        <w:t xml:space="preserve"> </w:t>
      </w:r>
      <w:r>
        <w:t xml:space="preserve">required for a 1 unit total change across both dimensions, we therefore need to solve</w:t>
      </w:r>
      <w:r>
        <w:t xml:space="preserve"> </w:t>
      </w:r>
      <m:oMath>
        <m:r>
          <m:t>1</m:t>
        </m:r>
        <m:r>
          <m:rPr>
            <m:sty m:val="p"/>
          </m:rPr>
          <m:t>=</m:t>
        </m:r>
        <m:rad>
          <m:radPr>
            <m:degHide m:val="1"/>
          </m:radPr>
          <m:deg/>
          <m:e>
            <m:sSup>
              <m:e>
                <m:r>
                  <m:t>z</m:t>
                </m:r>
              </m:e>
              <m:sup>
                <m:r>
                  <m:t>2</m:t>
                </m:r>
              </m:sup>
            </m:sSup>
            <m:r>
              <m:rPr>
                <m:sty m:val="p"/>
              </m:rPr>
              <m:t>+</m:t>
            </m:r>
            <m:sSup>
              <m:e>
                <m:r>
                  <m:t>z</m:t>
                </m:r>
              </m:e>
              <m:sup>
                <m:r>
                  <m:t>2</m:t>
                </m:r>
              </m:sup>
            </m:sSup>
          </m:e>
        </m:rad>
      </m:oMath>
      <w:r>
        <w:t xml:space="preserve">, i.e. </w:t>
      </w:r>
      <m:oMath>
        <m:r>
          <m:t>1</m:t>
        </m:r>
        <m:r>
          <m:rPr>
            <m:sty m:val="p"/>
          </m:rPr>
          <m:t>=</m:t>
        </m:r>
        <m:rad>
          <m:radPr>
            <m:degHide m:val="1"/>
          </m:radPr>
          <m:deg/>
          <m:e>
            <m:r>
              <m:t>2</m:t>
            </m:r>
            <m:sSup>
              <m:e>
                <m:r>
                  <m:t>z</m:t>
                </m:r>
              </m:e>
              <m:sup>
                <m:r>
                  <m:t>2</m:t>
                </m:r>
              </m:sup>
            </m:sSup>
          </m:e>
        </m:rad>
      </m:oMath>
      <w:r>
        <w:t xml:space="preserve">. This means</w:t>
      </w:r>
      <w:r>
        <w:t xml:space="preserve"> </w:t>
      </w:r>
      <m:oMath>
        <m:r>
          <m:t>1</m:t>
        </m:r>
        <m:r>
          <m:rPr>
            <m:sty m:val="p"/>
          </m:rPr>
          <m:t>=</m:t>
        </m:r>
        <m:r>
          <m:t>2</m:t>
        </m:r>
        <m:sSup>
          <m:e>
            <m:r>
              <m:t>z</m:t>
            </m:r>
          </m:e>
          <m:sup>
            <m:r>
              <m:t>2</m:t>
            </m:r>
          </m:sup>
        </m:sSup>
      </m:oMath>
      <w:r>
        <w:t xml:space="preserve">, so</w:t>
      </w:r>
      <w:r>
        <w:t xml:space="preserve"> </w:t>
      </w:r>
      <m:oMath>
        <m:sSup>
          <m:e>
            <m:r>
              <m:t>z</m:t>
            </m:r>
          </m:e>
          <m:sup>
            <m:r>
              <m:t>2</m:t>
            </m:r>
          </m:sup>
        </m:sSup>
        <m:r>
          <m:rPr>
            <m:sty m:val="p"/>
          </m:rPr>
          <m:t>=</m:t>
        </m:r>
        <m:f>
          <m:fPr>
            <m:type m:val="bar"/>
          </m:fPr>
          <m:num>
            <m:r>
              <m:t>1</m:t>
            </m:r>
          </m:num>
          <m:den>
            <m:r>
              <m:t>2</m:t>
            </m:r>
          </m:den>
        </m:f>
      </m:oMath>
      <w:r>
        <w:t xml:space="preserve">, and therefore</w:t>
      </w:r>
      <w:r>
        <w:t xml:space="preserve"> </w:t>
      </w:r>
      <m:oMath>
        <m:r>
          <m:t>z</m:t>
        </m:r>
        <m:r>
          <m:rPr>
            <m:sty m:val="p"/>
          </m:rPr>
          <m:t>=</m:t>
        </m:r>
        <m:f>
          <m:fPr>
            <m:type m:val="bar"/>
          </m:fPr>
          <m:num>
            <m:r>
              <m:t>1</m:t>
            </m:r>
          </m:num>
          <m:den>
            <m:rad>
              <m:radPr>
                <m:degHide m:val="1"/>
              </m:radPr>
              <m:deg/>
              <m:e>
                <m:r>
                  <m:t>2</m:t>
                </m:r>
              </m:e>
            </m:rad>
          </m:den>
        </m:f>
      </m:oMath>
      <w:r>
        <w:t xml:space="preserve">. In scenario 4, therefore, both MH and PH are increased by this same amount, which is 0.71 to two decimal places. The results of running this scenario are shown in</w:t>
      </w:r>
      <w:r>
        <w:t xml:space="preserve"> </w:t>
      </w:r>
      <w:hyperlink w:anchor="tbl-genhealth">
        <w:r>
          <w:rPr>
            <w:rStyle w:val="Hyperlink"/>
          </w:rPr>
          <w:t xml:space="preserve">Table 7</w:t>
        </w:r>
      </w:hyperlink>
    </w:p>
    <w:bookmarkStart w:id="51" w:name="tbl-genhealth"/>
    <w:p>
      <w:pPr>
        <w:pStyle w:val="TableCaption"/>
      </w:pPr>
      <w:r>
        <w:t xml:space="preserve">Table 7: Estimates of substantially improving health via equal improvements in mental health and physical health</w:t>
      </w:r>
    </w:p>
    <w:tbl>
      <w:tblPr>
        <w:tblStyle w:val="Table"/>
        <w:tblW w:type="auto" w:w="0"/>
        <w:tblLook w:firstRow="1" w:lastRow="0" w:firstColumn="0" w:lastColumn="0" w:noHBand="0" w:noVBand="0" w:val="0020"/>
        <w:jc w:val="start"/>
        <w:tblCaption w:val="Table 7: Estimates of substantially improving health via equal improvements in mental health and physical health"/>
      </w:tblPr>
      <w:tblGrid>
        <w:gridCol w:w="1584"/>
        <w:gridCol w:w="1584"/>
        <w:gridCol w:w="1584"/>
        <w:gridCol w:w="1584"/>
        <w:gridCol w:w="1584"/>
      </w:tblGrid>
      <w:tr>
        <w:trPr>
          <w:tblHeader w:val="true"/>
        </w:trPr>
        <w:tc>
          <w:tcPr/>
          <w:p>
            <w:pPr>
              <w:pStyle w:val="Compact"/>
              <w:jc w:val="left"/>
            </w:pPr>
            <w:r>
              <w:t xml:space="preserve">State</w:t>
            </w:r>
          </w:p>
        </w:tc>
        <w:tc>
          <w:tcPr/>
          <w:p>
            <w:pPr>
              <w:pStyle w:val="Compact"/>
              <w:jc w:val="right"/>
            </w:pPr>
            <w:r>
              <w:t xml:space="preserve">base</w:t>
            </w:r>
          </w:p>
        </w:tc>
        <w:tc>
          <w:tcPr/>
          <w:p>
            <w:pPr>
              <w:pStyle w:val="Compact"/>
              <w:jc w:val="right"/>
            </w:pPr>
            <w:r>
              <w:t xml:space="preserve">counterfactual</w:t>
            </w:r>
          </w:p>
        </w:tc>
        <w:tc>
          <w:tcPr/>
          <w:p>
            <w:pPr>
              <w:pStyle w:val="Compact"/>
              <w:jc w:val="right"/>
            </w:pPr>
            <w:r>
              <w:t xml:space="preserve">Absolute Change</w:t>
            </w:r>
          </w:p>
        </w:tc>
        <w:tc>
          <w:tcPr/>
          <w:p>
            <w:pPr>
              <w:pStyle w:val="Compact"/>
              <w:jc w:val="left"/>
            </w:pPr>
            <w:r>
              <w:t xml:space="preserve">Relative Change</w:t>
            </w:r>
          </w:p>
        </w:tc>
      </w:tr>
      <w:tr>
        <w:tc>
          <w:tcPr/>
          <w:p>
            <w:pPr>
              <w:pStyle w:val="Compact"/>
              <w:jc w:val="left"/>
            </w:pPr>
            <w:r>
              <w:t xml:space="preserve">Employed</w:t>
            </w:r>
          </w:p>
        </w:tc>
        <w:tc>
          <w:tcPr/>
          <w:p>
            <w:pPr>
              <w:pStyle w:val="Compact"/>
              <w:jc w:val="right"/>
            </w:pPr>
            <w:r>
              <w:t xml:space="preserve">12530</w:t>
            </w:r>
          </w:p>
        </w:tc>
        <w:tc>
          <w:tcPr/>
          <w:p>
            <w:pPr>
              <w:pStyle w:val="Compact"/>
              <w:jc w:val="right"/>
            </w:pPr>
            <w:r>
              <w:t xml:space="preserve">12827</w:t>
            </w:r>
          </w:p>
        </w:tc>
        <w:tc>
          <w:tcPr/>
          <w:p>
            <w:pPr>
              <w:pStyle w:val="Compact"/>
              <w:jc w:val="right"/>
            </w:pPr>
            <w:r>
              <w:t xml:space="preserve">297</w:t>
            </w:r>
          </w:p>
        </w:tc>
        <w:tc>
          <w:tcPr/>
          <w:p>
            <w:pPr>
              <w:pStyle w:val="Compact"/>
              <w:jc w:val="left"/>
            </w:pPr>
            <w:r>
              <w:t xml:space="preserve">2.4% up</w:t>
            </w:r>
          </w:p>
        </w:tc>
      </w:tr>
      <w:tr>
        <w:tc>
          <w:tcPr/>
          <w:p>
            <w:pPr>
              <w:pStyle w:val="Compact"/>
              <w:jc w:val="left"/>
            </w:pPr>
            <w:r>
              <w:t xml:space="preserve">Unemployed</w:t>
            </w:r>
          </w:p>
        </w:tc>
        <w:tc>
          <w:tcPr/>
          <w:p>
            <w:pPr>
              <w:pStyle w:val="Compact"/>
              <w:jc w:val="right"/>
            </w:pPr>
            <w:r>
              <w:t xml:space="preserve">619</w:t>
            </w:r>
          </w:p>
        </w:tc>
        <w:tc>
          <w:tcPr/>
          <w:p>
            <w:pPr>
              <w:pStyle w:val="Compact"/>
              <w:jc w:val="right"/>
            </w:pPr>
            <w:r>
              <w:t xml:space="preserve">524</w:t>
            </w:r>
          </w:p>
        </w:tc>
        <w:tc>
          <w:tcPr/>
          <w:p>
            <w:pPr>
              <w:pStyle w:val="Compact"/>
              <w:jc w:val="right"/>
            </w:pPr>
            <w:r>
              <w:t xml:space="preserve">-95</w:t>
            </w:r>
          </w:p>
        </w:tc>
        <w:tc>
          <w:tcPr/>
          <w:p>
            <w:pPr>
              <w:pStyle w:val="Compact"/>
              <w:jc w:val="left"/>
            </w:pPr>
            <w:r>
              <w:t xml:space="preserve">15.3% down</w:t>
            </w:r>
          </w:p>
        </w:tc>
      </w:tr>
      <w:tr>
        <w:tc>
          <w:tcPr/>
          <w:p>
            <w:pPr>
              <w:pStyle w:val="Compact"/>
              <w:jc w:val="left"/>
            </w:pPr>
            <w:r>
              <w:t xml:space="preserve">Inactive student</w:t>
            </w:r>
          </w:p>
        </w:tc>
        <w:tc>
          <w:tcPr/>
          <w:p>
            <w:pPr>
              <w:pStyle w:val="Compact"/>
              <w:jc w:val="right"/>
            </w:pPr>
            <w:r>
              <w:t xml:space="preserve">88</w:t>
            </w:r>
          </w:p>
        </w:tc>
        <w:tc>
          <w:tcPr/>
          <w:p>
            <w:pPr>
              <w:pStyle w:val="Compact"/>
              <w:jc w:val="right"/>
            </w:pPr>
            <w:r>
              <w:t xml:space="preserve">93</w:t>
            </w:r>
          </w:p>
        </w:tc>
        <w:tc>
          <w:tcPr/>
          <w:p>
            <w:pPr>
              <w:pStyle w:val="Compact"/>
              <w:jc w:val="right"/>
            </w:pPr>
            <w:r>
              <w:t xml:space="preserve">5</w:t>
            </w:r>
          </w:p>
        </w:tc>
        <w:tc>
          <w:tcPr/>
          <w:p>
            <w:pPr>
              <w:pStyle w:val="Compact"/>
              <w:jc w:val="left"/>
            </w:pPr>
            <w:r>
              <w:t xml:space="preserve">5.7% up</w:t>
            </w:r>
          </w:p>
        </w:tc>
      </w:tr>
      <w:tr>
        <w:tc>
          <w:tcPr/>
          <w:p>
            <w:pPr>
              <w:pStyle w:val="Compact"/>
              <w:jc w:val="left"/>
            </w:pPr>
            <w:r>
              <w:t xml:space="preserve">Inactive care</w:t>
            </w:r>
          </w:p>
        </w:tc>
        <w:tc>
          <w:tcPr/>
          <w:p>
            <w:pPr>
              <w:pStyle w:val="Compact"/>
              <w:jc w:val="right"/>
            </w:pPr>
            <w:r>
              <w:t xml:space="preserve">857</w:t>
            </w:r>
          </w:p>
        </w:tc>
        <w:tc>
          <w:tcPr/>
          <w:p>
            <w:pPr>
              <w:pStyle w:val="Compact"/>
              <w:jc w:val="right"/>
            </w:pPr>
            <w:r>
              <w:t xml:space="preserve">844</w:t>
            </w:r>
          </w:p>
        </w:tc>
        <w:tc>
          <w:tcPr/>
          <w:p>
            <w:pPr>
              <w:pStyle w:val="Compact"/>
              <w:jc w:val="right"/>
            </w:pPr>
            <w:r>
              <w:t xml:space="preserve">-13</w:t>
            </w:r>
          </w:p>
        </w:tc>
        <w:tc>
          <w:tcPr/>
          <w:p>
            <w:pPr>
              <w:pStyle w:val="Compact"/>
              <w:jc w:val="left"/>
            </w:pPr>
            <w:r>
              <w:t xml:space="preserve">1.5% down</w:t>
            </w:r>
          </w:p>
        </w:tc>
      </w:tr>
      <w:tr>
        <w:tc>
          <w:tcPr/>
          <w:p>
            <w:pPr>
              <w:pStyle w:val="Compact"/>
              <w:jc w:val="left"/>
            </w:pPr>
            <w:r>
              <w:t xml:space="preserve">Inactive long term sick</w:t>
            </w:r>
          </w:p>
        </w:tc>
        <w:tc>
          <w:tcPr/>
          <w:p>
            <w:pPr>
              <w:pStyle w:val="Compact"/>
              <w:jc w:val="right"/>
            </w:pPr>
            <w:r>
              <w:t xml:space="preserve">681</w:t>
            </w:r>
          </w:p>
        </w:tc>
        <w:tc>
          <w:tcPr/>
          <w:p>
            <w:pPr>
              <w:pStyle w:val="Compact"/>
              <w:jc w:val="right"/>
            </w:pPr>
            <w:r>
              <w:t xml:space="preserve">478</w:t>
            </w:r>
          </w:p>
        </w:tc>
        <w:tc>
          <w:tcPr/>
          <w:p>
            <w:pPr>
              <w:pStyle w:val="Compact"/>
              <w:jc w:val="right"/>
            </w:pPr>
            <w:r>
              <w:t xml:space="preserve">-203</w:t>
            </w:r>
          </w:p>
        </w:tc>
        <w:tc>
          <w:tcPr/>
          <w:p>
            <w:pPr>
              <w:pStyle w:val="Compact"/>
              <w:jc w:val="left"/>
            </w:pPr>
            <w:r>
              <w:t xml:space="preserve">29.8% down</w:t>
            </w:r>
          </w:p>
        </w:tc>
      </w:tr>
      <w:tr>
        <w:tc>
          <w:tcPr/>
          <w:p>
            <w:pPr>
              <w:pStyle w:val="Compact"/>
              <w:jc w:val="left"/>
            </w:pPr>
            <w:r>
              <w:t xml:space="preserve">Inactive retired</w:t>
            </w:r>
          </w:p>
        </w:tc>
        <w:tc>
          <w:tcPr/>
          <w:p>
            <w:pPr>
              <w:pStyle w:val="Compact"/>
              <w:jc w:val="right"/>
            </w:pPr>
            <w:r>
              <w:t xml:space="preserve">520</w:t>
            </w:r>
          </w:p>
        </w:tc>
        <w:tc>
          <w:tcPr/>
          <w:p>
            <w:pPr>
              <w:pStyle w:val="Compact"/>
              <w:jc w:val="right"/>
            </w:pPr>
            <w:r>
              <w:t xml:space="preserve">528</w:t>
            </w:r>
          </w:p>
        </w:tc>
        <w:tc>
          <w:tcPr/>
          <w:p>
            <w:pPr>
              <w:pStyle w:val="Compact"/>
              <w:jc w:val="right"/>
            </w:pPr>
            <w:r>
              <w:t xml:space="preserve">8</w:t>
            </w:r>
          </w:p>
        </w:tc>
        <w:tc>
          <w:tcPr/>
          <w:p>
            <w:pPr>
              <w:pStyle w:val="Compact"/>
              <w:jc w:val="left"/>
            </w:pPr>
            <w:r>
              <w:t xml:space="preserve">1.5% up</w:t>
            </w:r>
          </w:p>
        </w:tc>
      </w:tr>
      <w:tr>
        <w:tc>
          <w:tcPr/>
          <w:p>
            <w:pPr>
              <w:pStyle w:val="Compact"/>
              <w:jc w:val="left"/>
            </w:pPr>
            <w:r>
              <w:t xml:space="preserve">Inactive other</w:t>
            </w:r>
          </w:p>
        </w:tc>
        <w:tc>
          <w:tcPr/>
          <w:p>
            <w:pPr>
              <w:pStyle w:val="Compact"/>
              <w:jc w:val="right"/>
            </w:pPr>
            <w:r>
              <w:t xml:space="preserve">66</w:t>
            </w:r>
          </w:p>
        </w:tc>
        <w:tc>
          <w:tcPr/>
          <w:p>
            <w:pPr>
              <w:pStyle w:val="Compact"/>
              <w:jc w:val="right"/>
            </w:pPr>
            <w:r>
              <w:t xml:space="preserve">65</w:t>
            </w:r>
          </w:p>
        </w:tc>
        <w:tc>
          <w:tcPr/>
          <w:p>
            <w:pPr>
              <w:pStyle w:val="Compact"/>
              <w:jc w:val="right"/>
            </w:pPr>
            <w:r>
              <w:t xml:space="preserve">-1</w:t>
            </w:r>
          </w:p>
        </w:tc>
        <w:tc>
          <w:tcPr/>
          <w:p>
            <w:pPr>
              <w:pStyle w:val="Compact"/>
              <w:jc w:val="left"/>
            </w:pPr>
            <w:r>
              <w:t xml:space="preserve">1.5% down</w:t>
            </w:r>
          </w:p>
        </w:tc>
      </w:tr>
    </w:tbl>
    <w:bookmarkEnd w:id="51"/>
    <w:p>
      <w:pPr>
        <w:pStyle w:val="BodyText"/>
      </w:pPr>
      <w:hyperlink w:anchor="tbl-genhealth">
        <w:r>
          <w:rPr>
            <w:rStyle w:val="Hyperlink"/>
          </w:rPr>
          <w:t xml:space="preserve">Table 7</w:t>
        </w:r>
      </w:hyperlink>
      <w:r>
        <w:t xml:space="preserve"> </w:t>
      </w:r>
      <w:r>
        <w:t xml:space="preserve">suggests that the effects of intervening both on mental and physical health, without changing the total amount of change, may lead to greater shifts than intervening on online one of the two subdimensions. In this scenario, the size of the long-term sick population is predicted to fall by almost 30%, and unemployment to fall by over 15%. The estimated effect on the size of those in the employed state is also estimated to be slightly greater than for either MH or PH only interventions, at 2.4%.</w:t>
      </w:r>
    </w:p>
    <w:bookmarkEnd w:id="52"/>
    <w:bookmarkEnd w:id="53"/>
    <w:bookmarkStart w:id="54" w:name="modelling-effects-of-qualifications"/>
    <w:p>
      <w:pPr>
        <w:pStyle w:val="Heading3"/>
      </w:pPr>
      <w:r>
        <w:t xml:space="preserve">Modelling effects of qualifications</w:t>
      </w:r>
    </w:p>
    <w:bookmarkEnd w:id="54"/>
    <w:bookmarkStart w:id="56" w:name="X00d97923be34a436f6a2537c23d3d5681d67ef6"/>
    <w:p>
      <w:pPr>
        <w:pStyle w:val="Heading3"/>
      </w:pPr>
      <w:r>
        <w:t xml:space="preserve">Modelling effects of higher or lower wages</w:t>
      </w:r>
    </w:p>
    <w:p>
      <w:pPr>
        <w:numPr>
          <w:ilvl w:val="0"/>
          <w:numId w:val="1008"/>
        </w:numPr>
        <w:pStyle w:val="Compact"/>
      </w:pPr>
      <w:r>
        <w:t xml:space="preserve">in those who are employed</w:t>
      </w:r>
    </w:p>
    <w:p>
      <w:pPr>
        <w:numPr>
          <w:ilvl w:val="0"/>
          <w:numId w:val="1008"/>
        </w:numPr>
        <w:pStyle w:val="Compact"/>
      </w:pPr>
      <w:r>
        <w:t xml:space="preserve">those who are unemployed (?)</w:t>
      </w:r>
    </w:p>
    <w:bookmarkStart w:id="55" w:name="descriptive"/>
    <w:p>
      <w:pPr>
        <w:pStyle w:val="Heading4"/>
      </w:pPr>
      <w:r>
        <w:t xml:space="preserve">Descriptive</w:t>
      </w:r>
    </w:p>
    <w:p>
      <w:pPr>
        <w:numPr>
          <w:ilvl w:val="0"/>
          <w:numId w:val="1009"/>
        </w:numPr>
        <w:pStyle w:val="Compact"/>
      </w:pPr>
      <w:r>
        <w:t xml:space="preserve">Want to get some kind of event history summary statistics</w:t>
      </w:r>
    </w:p>
    <w:p>
      <w:pPr>
        <w:numPr>
          <w:ilvl w:val="1"/>
          <w:numId w:val="1010"/>
        </w:numPr>
        <w:pStyle w:val="Compact"/>
      </w:pPr>
      <w:r>
        <w:t xml:space="preserve">e.g. number of people in panel who have been employed 1 wave, 2 waves, 3 waves etc</w:t>
      </w:r>
    </w:p>
    <w:bookmarkEnd w:id="55"/>
    <w:bookmarkEnd w:id="56"/>
    <w:bookmarkEnd w:id="57"/>
    <w:bookmarkEnd w:id="58"/>
    <w:bookmarkStart w:id="59" w:name="discussion"/>
    <w:p>
      <w:pPr>
        <w:pStyle w:val="Heading1"/>
      </w:pPr>
      <w:r>
        <w:t xml:space="preserve">Discussion</w:t>
      </w:r>
    </w:p>
    <w:bookmarkEnd w:id="59"/>
    <w:bookmarkStart w:id="60" w:name="references"/>
    <w:p>
      <w:pPr>
        <w:pStyle w:val="Heading1"/>
      </w:pPr>
      <w:r>
        <w:t xml:space="preserve">References</w:t>
      </w:r>
    </w:p>
    <w:bookmarkEnd w:id="60"/>
    <w:bookmarkStart w:id="66" w:name="appendices"/>
    <w:p>
      <w:pPr>
        <w:pStyle w:val="Heading1"/>
      </w:pPr>
      <w:r>
        <w:t xml:space="preserve">Appendices</w:t>
      </w:r>
    </w:p>
    <w:bookmarkStart w:id="61" w:name="appendix-1"/>
    <w:p>
      <w:pPr>
        <w:pStyle w:val="Heading2"/>
      </w:pPr>
      <w:r>
        <w:t xml:space="preserve">Appendix 1</w:t>
      </w:r>
    </w:p>
    <w:bookmarkEnd w:id="61"/>
    <w:bookmarkStart w:id="65" w:name="appendix-2"/>
    <w:p>
      <w:pPr>
        <w:pStyle w:val="Heading2"/>
      </w:pPr>
      <w:r>
        <w:t xml:space="preserve">Appendix 2</w:t>
      </w:r>
    </w:p>
    <w:bookmarkStart w:id="64" w:name="refs"/>
    <w:bookmarkStart w:id="63" w:name="ref-brown2010"/>
    <w:p>
      <w:pPr>
        <w:pStyle w:val="Bibliography"/>
      </w:pPr>
      <w:r>
        <w:t xml:space="preserve">Brown, Sarah, Jennifer Roberts, and Karl Taylor. 2010.</w:t>
      </w:r>
      <w:r>
        <w:t xml:space="preserve"> </w:t>
      </w:r>
      <w:r>
        <w:t xml:space="preserve">“Reservation Wages, Labour Market Participation and Health.”</w:t>
      </w:r>
      <w:r>
        <w:t xml:space="preserve"> </w:t>
      </w:r>
      <w:r>
        <w:rPr>
          <w:iCs/>
          <w:i/>
        </w:rPr>
        <w:t xml:space="preserve">Journal of the Royal Statistical Society. Series A (Statistics in Society)</w:t>
      </w:r>
      <w:r>
        <w:t xml:space="preserve"> </w:t>
      </w:r>
      <w:r>
        <w:t xml:space="preserve">173 (3): 501–29.</w:t>
      </w:r>
      <w:r>
        <w:t xml:space="preserve"> </w:t>
      </w:r>
      <w:hyperlink r:id="rId62">
        <w:r>
          <w:rPr>
            <w:rStyle w:val="Hyperlink"/>
          </w:rPr>
          <w:t xml:space="preserve">http://www.jstor.org/stable/40666273</w:t>
        </w:r>
      </w:hyperlink>
      <w:r>
        <w:t xml:space="preserve">.</w:t>
      </w:r>
    </w:p>
    <w:bookmarkEnd w:id="63"/>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62" Target="http://www.jstor.org/stable/40666273" TargetMode="External" /></Relationships>
</file>

<file path=word/_rels/footnotes.xml.rels><?xml version="1.0" encoding="UTF-8"?><Relationships xmlns="http://schemas.openxmlformats.org/package/2006/relationships"><Relationship Type="http://schemas.openxmlformats.org/officeDocument/2006/relationships/hyperlink" Id="rId62" Target="http://www.jstor.org/stable/406662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impact of health, qualifications and wages on economic inactivity</dc:title>
  <dc:creator>Jon Minton; Martin Taulbut; Neil Chalmers; Debs Shipton</dc:creator>
  <cp:keywords/>
  <dcterms:created xsi:type="dcterms:W3CDTF">2023-11-20T15:08:01Z</dcterms:created>
  <dcterms:modified xsi:type="dcterms:W3CDTF">2023-11-20T15:08:01Z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essage">
    <vt:lpwstr>False</vt:lpwstr>
  </property>
  <property fmtid="{D5CDD505-2E9C-101B-9397-08002B2CF9AE}" pid="12" name="toc-title">
    <vt:lpwstr>Table of contents</vt:lpwstr>
  </property>
</Properties>
</file>