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u w:val="single"/>
          <w:lang w:val="de-DE"/>
        </w:rPr>
      </w:pPr>
      <w:r>
        <w:rPr>
          <w:rFonts w:hint="default"/>
          <w:b/>
          <w:bCs/>
          <w:sz w:val="28"/>
          <w:szCs w:val="28"/>
          <w:u w:val="single"/>
          <w:lang w:val="de-DE"/>
        </w:rPr>
        <w:t>GPT-4 INTERATION 2</w:t>
      </w:r>
    </w:p>
    <w:p>
      <w:pPr>
        <w:rPr>
          <w:rFonts w:hint="default"/>
          <w:lang w:val="de-DE"/>
        </w:rPr>
      </w:pPr>
    </w:p>
    <w:p>
      <w:pPr>
        <w:rPr>
          <w:rFonts w:hint="default"/>
          <w:highlight w:val="green"/>
          <w:lang w:val="de-DE"/>
        </w:rPr>
      </w:pPr>
      <w:r>
        <w:rPr>
          <w:rFonts w:hint="default"/>
          <w:highlight w:val="green"/>
          <w:lang w:val="de-DE"/>
        </w:rPr>
        <w:t>changes from iteration 2</w:t>
      </w:r>
    </w:p>
    <w:p>
      <w:pPr>
        <w:rPr>
          <w:rFonts w:hint="default"/>
          <w:lang w:val="de-DE"/>
        </w:rPr>
      </w:pPr>
    </w:p>
    <w:p>
      <w:pPr>
        <w:rPr>
          <w:rFonts w:hint="default"/>
          <w:lang w:val="de-DE"/>
        </w:rPr>
      </w:pPr>
    </w:p>
    <w:p>
      <w:pPr>
        <w:numPr>
          <w:ilvl w:val="0"/>
          <w:numId w:val="1"/>
        </w:numPr>
        <w:ind w:left="425" w:leftChars="0" w:hanging="425" w:firstLineChars="0"/>
        <w:jc w:val="left"/>
        <w:rPr>
          <w:rFonts w:hint="default"/>
          <w:b/>
          <w:bCs/>
          <w:lang w:val="de-DE"/>
        </w:rPr>
      </w:pPr>
      <w:r>
        <w:rPr>
          <w:rFonts w:hint="default"/>
          <w:b/>
          <w:bCs/>
          <w:lang w:val="de-DE"/>
        </w:rPr>
        <w:t>Task Intro (once at beginning of chat session):</w:t>
      </w:r>
    </w:p>
    <w:p>
      <w:pPr>
        <w:numPr>
          <w:ilvl w:val="0"/>
          <w:numId w:val="0"/>
        </w:numPr>
        <w:jc w:val="left"/>
        <w:rPr>
          <w:rFonts w:hint="default"/>
          <w:b w:val="0"/>
          <w:bCs w:val="0"/>
          <w:lang w:val="de-DE"/>
        </w:rPr>
      </w:pPr>
      <w:r>
        <w:rPr>
          <w:rFonts w:hint="default"/>
          <w:b w:val="0"/>
          <w:bCs w:val="0"/>
          <w:lang w:val="de-DE"/>
        </w:rPr>
        <w:t xml:space="preserve">You will be given a text passage from a regulatory document and need to identify its relevancy for a given process and business context. The process and its elements will be described in textual form.  </w:t>
      </w:r>
    </w:p>
    <w:p>
      <w:pPr>
        <w:numPr>
          <w:ilvl w:val="0"/>
          <w:numId w:val="0"/>
        </w:numPr>
        <w:jc w:val="left"/>
        <w:rPr>
          <w:rFonts w:hint="default"/>
          <w:b w:val="0"/>
          <w:bCs w:val="0"/>
          <w:highlight w:val="none"/>
          <w:lang w:val="de-DE"/>
        </w:rPr>
      </w:pPr>
      <w:r>
        <w:rPr>
          <w:rFonts w:hint="default"/>
          <w:b w:val="0"/>
          <w:bCs w:val="0"/>
          <w:highlight w:val="none"/>
          <w:lang w:val="de-DE"/>
        </w:rPr>
        <w:t xml:space="preserve">The requirement text passage can come from different documents. A bit of context about the document and section the text passage is extracted from will be given and should be taken into consideration. </w:t>
      </w:r>
    </w:p>
    <w:p>
      <w:pPr>
        <w:numPr>
          <w:ilvl w:val="0"/>
          <w:numId w:val="0"/>
        </w:numPr>
        <w:jc w:val="left"/>
        <w:rPr>
          <w:rFonts w:hint="default"/>
          <w:b w:val="0"/>
          <w:bCs w:val="0"/>
          <w:lang w:val="de-DE"/>
        </w:rPr>
      </w:pPr>
      <w:r>
        <w:rPr>
          <w:rFonts w:hint="default"/>
          <w:b w:val="0"/>
          <w:bCs w:val="0"/>
          <w:lang w:val="de-DE"/>
        </w:rPr>
        <w:t xml:space="preserve">We distinguish two kinds of relevancy: </w:t>
      </w:r>
    </w:p>
    <w:p>
      <w:pPr>
        <w:numPr>
          <w:ilvl w:val="0"/>
          <w:numId w:val="0"/>
        </w:numPr>
        <w:jc w:val="left"/>
        <w:rPr>
          <w:rFonts w:hint="default"/>
          <w:b w:val="0"/>
          <w:bCs w:val="0"/>
          <w:lang w:val="de-DE"/>
        </w:rPr>
      </w:pPr>
      <w:r>
        <w:rPr>
          <w:rFonts w:hint="default"/>
          <w:b w:val="0"/>
          <w:bCs w:val="0"/>
          <w:lang w:val="de-DE"/>
        </w:rPr>
        <w:t>- compliance relevant = this is the description of an action an organizations has to fullfill in order to be compliant with the regulation</w:t>
      </w:r>
    </w:p>
    <w:p>
      <w:pPr>
        <w:numPr>
          <w:ilvl w:val="0"/>
          <w:numId w:val="0"/>
        </w:numPr>
        <w:jc w:val="left"/>
        <w:rPr>
          <w:rFonts w:hint="default"/>
          <w:b w:val="0"/>
          <w:bCs w:val="0"/>
          <w:lang w:val="de-DE"/>
        </w:rPr>
      </w:pPr>
      <w:r>
        <w:rPr>
          <w:rFonts w:hint="default"/>
          <w:b w:val="0"/>
          <w:bCs w:val="0"/>
          <w:lang w:val="de-DE"/>
        </w:rPr>
        <w:t>- informative relevant = these texts contain information related to the process but don‘t require a clear action by the organization, they may refere to compliance relevant texts</w:t>
      </w:r>
    </w:p>
    <w:p>
      <w:pPr>
        <w:numPr>
          <w:ilvl w:val="0"/>
          <w:numId w:val="0"/>
        </w:numPr>
        <w:jc w:val="left"/>
        <w:rPr>
          <w:rFonts w:hint="default"/>
          <w:b w:val="0"/>
          <w:bCs w:val="0"/>
          <w:lang w:val="de-DE"/>
        </w:rPr>
      </w:pPr>
      <w:r>
        <w:rPr>
          <w:rFonts w:hint="default"/>
          <w:b w:val="0"/>
          <w:bCs w:val="0"/>
          <w:highlight w:val="green"/>
          <w:lang w:val="de-DE"/>
        </w:rPr>
        <w:t xml:space="preserve">A text should only be considered relevant if it is concerned with the specific business context and the specific matter of the given business process. A general/loose requirement for the business that is not an action of the process should not be considered relevant. </w:t>
      </w:r>
    </w:p>
    <w:p>
      <w:pPr>
        <w:numPr>
          <w:ilvl w:val="0"/>
          <w:numId w:val="0"/>
        </w:numPr>
        <w:jc w:val="left"/>
        <w:rPr>
          <w:rFonts w:hint="default"/>
          <w:b w:val="0"/>
          <w:bCs w:val="0"/>
          <w:lang w:val="de-DE"/>
        </w:rPr>
      </w:pPr>
    </w:p>
    <w:p>
      <w:pPr>
        <w:numPr>
          <w:ilvl w:val="0"/>
          <w:numId w:val="0"/>
        </w:numPr>
        <w:jc w:val="left"/>
        <w:rPr>
          <w:rFonts w:hint="default"/>
          <w:b w:val="0"/>
          <w:bCs w:val="0"/>
          <w:lang w:val="de-DE"/>
        </w:rPr>
      </w:pPr>
      <w:r>
        <w:rPr>
          <w:rFonts w:hint="default"/>
          <w:b w:val="0"/>
          <w:bCs w:val="0"/>
          <w:lang w:val="de-DE"/>
        </w:rPr>
        <w:t xml:space="preserve"> </w:t>
      </w:r>
    </w:p>
    <w:p>
      <w:pPr>
        <w:numPr>
          <w:ilvl w:val="0"/>
          <w:numId w:val="0"/>
        </w:numPr>
        <w:jc w:val="left"/>
        <w:rPr>
          <w:rFonts w:hint="default"/>
          <w:b w:val="0"/>
          <w:bCs w:val="0"/>
          <w:lang w:val="de-DE"/>
        </w:rPr>
      </w:pPr>
      <w:r>
        <w:rPr>
          <w:rFonts w:hint="default"/>
          <w:b w:val="0"/>
          <w:bCs w:val="0"/>
          <w:lang w:val="de-DE"/>
        </w:rPr>
        <w:t xml:space="preserve">The task is to... </w:t>
      </w:r>
    </w:p>
    <w:p>
      <w:pPr>
        <w:numPr>
          <w:ilvl w:val="0"/>
          <w:numId w:val="2"/>
        </w:numPr>
        <w:jc w:val="left"/>
        <w:rPr>
          <w:rFonts w:hint="default"/>
          <w:b w:val="0"/>
          <w:bCs w:val="0"/>
          <w:lang w:val="de-DE"/>
        </w:rPr>
      </w:pPr>
      <w:r>
        <w:rPr>
          <w:rFonts w:hint="default"/>
          <w:b w:val="0"/>
          <w:bCs w:val="0"/>
          <w:lang w:val="de-DE"/>
        </w:rPr>
        <w:t xml:space="preserve">...identify if a regulatory text passage from a regulatory document is relevant or not relevant for the described process </w:t>
      </w:r>
    </w:p>
    <w:p>
      <w:pPr>
        <w:numPr>
          <w:ilvl w:val="0"/>
          <w:numId w:val="0"/>
        </w:numPr>
        <w:jc w:val="left"/>
        <w:rPr>
          <w:rFonts w:hint="default"/>
          <w:b w:val="0"/>
          <w:bCs w:val="0"/>
          <w:lang w:val="de-DE"/>
        </w:rPr>
      </w:pPr>
      <w:r>
        <w:rPr>
          <w:rFonts w:hint="default"/>
          <w:b w:val="0"/>
          <w:bCs w:val="0"/>
          <w:lang w:val="de-DE"/>
        </w:rPr>
        <w:t>if A) == relevant:</w:t>
      </w:r>
    </w:p>
    <w:p>
      <w:pPr>
        <w:numPr>
          <w:ilvl w:val="0"/>
          <w:numId w:val="0"/>
        </w:numPr>
        <w:ind w:leftChars="0"/>
        <w:jc w:val="left"/>
        <w:rPr>
          <w:rFonts w:hint="default"/>
          <w:b w:val="0"/>
          <w:bCs w:val="0"/>
          <w:lang w:val="de-DE"/>
        </w:rPr>
      </w:pPr>
      <w:r>
        <w:rPr>
          <w:rFonts w:hint="default"/>
          <w:b w:val="0"/>
          <w:bCs w:val="0"/>
          <w:lang w:val="de-DE"/>
        </w:rPr>
        <w:t xml:space="preserve">B)...identify the subprocess (e.g. 3) it is relevant for (can be multiple) </w:t>
      </w:r>
    </w:p>
    <w:p>
      <w:pPr>
        <w:numPr>
          <w:ilvl w:val="0"/>
          <w:numId w:val="0"/>
        </w:numPr>
        <w:jc w:val="left"/>
        <w:rPr>
          <w:rFonts w:hint="default"/>
          <w:b w:val="0"/>
          <w:bCs w:val="0"/>
          <w:lang w:val="de-DE"/>
        </w:rPr>
      </w:pPr>
      <w:r>
        <w:rPr>
          <w:rFonts w:hint="default"/>
          <w:b w:val="0"/>
          <w:bCs w:val="0"/>
          <w:lang w:val="de-DE"/>
        </w:rPr>
        <w:t>C)...identify the specific task (e.g. 3.1) it is relevant for (can be multiple) and wether it is informative relevant or compliance relevant</w:t>
      </w:r>
    </w:p>
    <w:p>
      <w:pPr>
        <w:numPr>
          <w:ilvl w:val="0"/>
          <w:numId w:val="0"/>
        </w:numPr>
        <w:jc w:val="left"/>
        <w:rPr>
          <w:rFonts w:hint="default"/>
          <w:b w:val="0"/>
          <w:bCs w:val="0"/>
          <w:lang w:val="de-DE"/>
        </w:rPr>
      </w:pPr>
      <w:r>
        <w:rPr>
          <w:rFonts w:hint="default"/>
          <w:b w:val="0"/>
          <w:bCs w:val="0"/>
          <w:lang w:val="de-DE"/>
        </w:rPr>
        <w:t>if A) == not relevant:</w:t>
      </w:r>
    </w:p>
    <w:p>
      <w:pPr>
        <w:numPr>
          <w:ilvl w:val="0"/>
          <w:numId w:val="0"/>
        </w:numPr>
        <w:jc w:val="left"/>
        <w:rPr>
          <w:rFonts w:hint="default"/>
          <w:b w:val="0"/>
          <w:bCs w:val="0"/>
          <w:lang w:val="de-DE"/>
        </w:rPr>
      </w:pPr>
      <w:r>
        <w:rPr>
          <w:rFonts w:hint="default"/>
          <w:b w:val="0"/>
          <w:bCs w:val="0"/>
          <w:lang w:val="de-DE"/>
        </w:rPr>
        <w:t>...not further analsysis needed</w:t>
      </w:r>
    </w:p>
    <w:p>
      <w:pPr>
        <w:numPr>
          <w:ilvl w:val="0"/>
          <w:numId w:val="0"/>
        </w:numPr>
        <w:jc w:val="left"/>
        <w:rPr>
          <w:rFonts w:hint="default"/>
          <w:b w:val="0"/>
          <w:bCs w:val="0"/>
          <w:lang w:val="de-DE"/>
        </w:rPr>
      </w:pPr>
    </w:p>
    <w:p>
      <w:pPr>
        <w:numPr>
          <w:ilvl w:val="0"/>
          <w:numId w:val="0"/>
        </w:numPr>
        <w:jc w:val="left"/>
        <w:rPr>
          <w:rFonts w:hint="default"/>
          <w:b w:val="0"/>
          <w:bCs w:val="0"/>
          <w:lang w:val="de-DE"/>
        </w:rPr>
      </w:pPr>
    </w:p>
    <w:p>
      <w:pPr>
        <w:numPr>
          <w:ilvl w:val="0"/>
          <w:numId w:val="0"/>
        </w:numPr>
        <w:jc w:val="left"/>
        <w:rPr>
          <w:rFonts w:hint="default"/>
          <w:b w:val="0"/>
          <w:bCs w:val="0"/>
          <w:lang w:val="de-DE"/>
        </w:rPr>
      </w:pPr>
      <w:r>
        <w:rPr>
          <w:rFonts w:hint="default"/>
          <w:b w:val="0"/>
          <w:bCs w:val="0"/>
          <w:lang w:val="de-DE"/>
        </w:rPr>
        <w:t xml:space="preserve">Print your result like this: </w:t>
      </w:r>
    </w:p>
    <w:p>
      <w:pPr>
        <w:numPr>
          <w:ilvl w:val="0"/>
          <w:numId w:val="0"/>
        </w:numPr>
        <w:jc w:val="left"/>
        <w:rPr>
          <w:rFonts w:hint="default"/>
          <w:b w:val="0"/>
          <w:bCs w:val="0"/>
          <w:lang w:val="de-DE"/>
        </w:rPr>
      </w:pPr>
      <w:r>
        <w:rPr>
          <w:rFonts w:hint="default"/>
          <w:b w:val="0"/>
          <w:bCs w:val="0"/>
          <w:lang w:val="de-DE"/>
        </w:rPr>
        <w:t>process relevance: yes/no</w:t>
      </w:r>
    </w:p>
    <w:p>
      <w:pPr>
        <w:numPr>
          <w:ilvl w:val="0"/>
          <w:numId w:val="0"/>
        </w:numPr>
        <w:jc w:val="left"/>
        <w:rPr>
          <w:rFonts w:hint="default"/>
          <w:b w:val="0"/>
          <w:bCs w:val="0"/>
          <w:lang w:val="de-DE"/>
        </w:rPr>
      </w:pPr>
      <w:r>
        <w:rPr>
          <w:rFonts w:hint="default"/>
          <w:b w:val="0"/>
          <w:bCs w:val="0"/>
          <w:lang w:val="de-DE"/>
        </w:rPr>
        <w:t xml:space="preserve">if yes: </w:t>
      </w:r>
    </w:p>
    <w:p>
      <w:pPr>
        <w:numPr>
          <w:ilvl w:val="0"/>
          <w:numId w:val="0"/>
        </w:numPr>
        <w:jc w:val="left"/>
        <w:rPr>
          <w:rFonts w:hint="default"/>
          <w:b/>
          <w:bCs/>
          <w:lang w:val="de-DE"/>
        </w:rPr>
      </w:pPr>
      <w:r>
        <w:rPr>
          <w:rFonts w:hint="default"/>
          <w:b w:val="0"/>
          <w:bCs w:val="0"/>
          <w:lang w:val="de-DE"/>
        </w:rPr>
        <w:t xml:space="preserve">compliance/informative relevant for the following subprocess (e.g. 1) and task(s) and/or throwing event(s) (e.g. 1.1): </w:t>
      </w:r>
    </w:p>
    <w:p>
      <w:pPr>
        <w:rPr>
          <w:rFonts w:hint="default"/>
          <w:b/>
          <w:bCs/>
          <w:lang w:val="de-DE"/>
        </w:rPr>
      </w:pPr>
    </w:p>
    <w:p>
      <w:pPr>
        <w:rPr>
          <w:rFonts w:hint="default"/>
          <w:b/>
          <w:bCs/>
          <w:lang w:val="de-DE"/>
        </w:rPr>
      </w:pPr>
      <w:r>
        <w:rPr>
          <w:rFonts w:hint="default"/>
          <w:b/>
          <w:bCs/>
          <w:lang w:val="de-DE"/>
        </w:rPr>
        <w:br w:type="page"/>
      </w:r>
    </w:p>
    <w:p>
      <w:pPr>
        <w:numPr>
          <w:ilvl w:val="0"/>
          <w:numId w:val="1"/>
        </w:numPr>
        <w:ind w:left="425" w:leftChars="0" w:hanging="425" w:firstLineChars="0"/>
        <w:jc w:val="left"/>
        <w:rPr>
          <w:rFonts w:hint="default"/>
          <w:b/>
          <w:bCs/>
          <w:lang w:val="de-DE"/>
        </w:rPr>
      </w:pPr>
      <w:r>
        <w:rPr>
          <w:rFonts w:hint="default"/>
          <w:b/>
          <w:bCs/>
          <w:sz w:val="20"/>
          <w:szCs w:val="20"/>
          <w:u w:val="none"/>
          <w:lang w:val="de-DE"/>
        </w:rPr>
        <w:t>Information about the business process</w:t>
      </w:r>
      <w:r>
        <w:rPr>
          <w:rFonts w:hint="default"/>
          <w:b/>
          <w:bCs/>
          <w:lang w:val="de-DE"/>
        </w:rPr>
        <w:t xml:space="preserve"> for case study 1</w:t>
      </w:r>
    </w:p>
    <w:p>
      <w:pPr>
        <w:numPr>
          <w:ilvl w:val="0"/>
          <w:numId w:val="0"/>
        </w:numPr>
        <w:jc w:val="left"/>
        <w:rPr>
          <w:rFonts w:hint="default"/>
          <w:b/>
          <w:bCs/>
          <w:lang w:val="de-DE"/>
        </w:rPr>
      </w:pPr>
    </w:p>
    <w:p>
      <w:pPr>
        <w:numPr>
          <w:ilvl w:val="0"/>
          <w:numId w:val="0"/>
        </w:numPr>
        <w:jc w:val="left"/>
        <w:rPr>
          <w:rFonts w:hint="default"/>
          <w:b/>
          <w:bCs/>
          <w:lang w:val="de-DE"/>
        </w:rPr>
      </w:pPr>
    </w:p>
    <w:p>
      <w:pPr>
        <w:numPr>
          <w:ilvl w:val="0"/>
          <w:numId w:val="0"/>
        </w:numPr>
        <w:jc w:val="left"/>
        <w:rPr>
          <w:rFonts w:hint="default"/>
          <w:b/>
          <w:bCs/>
          <w:lang w:val="de-DE"/>
        </w:rPr>
      </w:pPr>
      <w:r>
        <w:rPr>
          <w:rFonts w:hint="default"/>
          <w:b/>
          <w:bCs/>
          <w:lang w:val="de-DE"/>
        </w:rPr>
        <w:t xml:space="preserve">Business context: </w:t>
      </w:r>
    </w:p>
    <w:p>
      <w:pPr>
        <w:numPr>
          <w:ilvl w:val="0"/>
          <w:numId w:val="0"/>
        </w:numPr>
        <w:jc w:val="left"/>
        <w:rPr>
          <w:rFonts w:hint="default"/>
          <w:b w:val="0"/>
          <w:bCs w:val="0"/>
          <w:lang w:val="de-DE"/>
        </w:rPr>
      </w:pPr>
      <w:r>
        <w:rPr>
          <w:rFonts w:hint="default"/>
          <w:b w:val="0"/>
          <w:bCs w:val="0"/>
          <w:lang w:val="de-DE"/>
        </w:rPr>
        <w:t>The organization we identify compliance relevant texts for is an australian insurance company with an annual turnover of over $3 million.</w:t>
      </w:r>
    </w:p>
    <w:p>
      <w:pPr>
        <w:numPr>
          <w:ilvl w:val="0"/>
          <w:numId w:val="0"/>
        </w:numPr>
        <w:jc w:val="left"/>
        <w:rPr>
          <w:rFonts w:hint="default"/>
          <w:b/>
          <w:bCs/>
          <w:lang w:val="de-DE"/>
        </w:rPr>
      </w:pPr>
    </w:p>
    <w:p>
      <w:pPr>
        <w:numPr>
          <w:ilvl w:val="0"/>
          <w:numId w:val="0"/>
        </w:numPr>
        <w:jc w:val="left"/>
        <w:rPr>
          <w:rFonts w:hint="default"/>
          <w:b/>
          <w:bCs/>
          <w:lang w:val="de-DE"/>
        </w:rPr>
      </w:pPr>
      <w:r>
        <w:rPr>
          <w:rFonts w:hint="default"/>
          <w:b/>
          <w:bCs/>
          <w:lang w:val="de-DE"/>
        </w:rPr>
        <w:t>The process overview:</w:t>
      </w:r>
    </w:p>
    <w:p>
      <w:pPr>
        <w:numPr>
          <w:ilvl w:val="0"/>
          <w:numId w:val="0"/>
        </w:numPr>
        <w:jc w:val="left"/>
        <w:rPr>
          <w:rFonts w:hint="default"/>
          <w:b w:val="0"/>
          <w:bCs w:val="0"/>
          <w:lang w:val="de-DE"/>
        </w:rPr>
      </w:pPr>
      <w:r>
        <w:rPr>
          <w:rFonts w:hint="default"/>
          <w:b w:val="0"/>
          <w:bCs w:val="0"/>
          <w:lang w:val="de-DE"/>
        </w:rPr>
        <w:t xml:space="preserve">The process for a travel insurance claim involves several important steps to ensure a fair and accurate resolution for both the insured traveler and the insurance provider. First, when a traveler contacts the insurance provider to report a claim, the provider will typically ask for detailed information about the event, including the necessary documentation to support the claim. Next, the insurance provider will review the policy coverage to determine if the claim falls under the policy's covered events. If the event is covered, the insurance company will then assess the claim and the supporting documentation to determine the amount of coverage, if any, that the traveler is entitled to receive. Depending on the complexity of the claim and the amount of coverage requested, this process can take varying amounts of time. Once the claim has been assessed, the insurance provider will either issue payment for the covered expenses or deny the claim if it is not covered under the policy. </w:t>
      </w:r>
    </w:p>
    <w:p>
      <w:pPr>
        <w:numPr>
          <w:ilvl w:val="0"/>
          <w:numId w:val="0"/>
        </w:numPr>
        <w:jc w:val="left"/>
        <w:rPr>
          <w:rFonts w:hint="default"/>
          <w:b/>
          <w:bCs/>
          <w:lang w:val="de-DE"/>
        </w:rPr>
      </w:pPr>
    </w:p>
    <w:p>
      <w:pPr>
        <w:numPr>
          <w:ilvl w:val="0"/>
          <w:numId w:val="0"/>
        </w:numPr>
        <w:jc w:val="left"/>
        <w:rPr>
          <w:rFonts w:hint="default"/>
          <w:b w:val="0"/>
          <w:bCs w:val="0"/>
          <w:lang w:val="de-DE"/>
        </w:rPr>
      </w:pPr>
      <w:r>
        <w:rPr>
          <w:rFonts w:hint="default"/>
          <w:b w:val="0"/>
          <w:bCs w:val="0"/>
          <w:lang w:val="de-DE"/>
        </w:rPr>
        <w:t>Following are the descriptions for the tasks and throwing events (e.g. 1.1) and the subprocess they are in (e.g. 1).</w:t>
      </w:r>
    </w:p>
    <w:p>
      <w:pPr>
        <w:pStyle w:val="4"/>
        <w:keepNext w:val="0"/>
        <w:keepLines w:val="0"/>
        <w:widowControl/>
        <w:suppressLineNumbers w:val="0"/>
        <w:ind w:left="0" w:firstLine="0"/>
        <w:rPr>
          <w:rFonts w:hint="default"/>
          <w:b w:val="0"/>
          <w:bCs w:val="0"/>
          <w:lang w:val="de-DE"/>
        </w:rPr>
      </w:pPr>
      <w:r>
        <w:rPr>
          <w:rFonts w:hint="default"/>
          <w:b w:val="0"/>
          <w:bCs w:val="0"/>
          <w:lang w:val="de-DE"/>
        </w:rPr>
        <w:t>1.Log claim information: There are various options for submitting a claim and logging the information into the company's system for further processing. Claims involving vulnerability or financial hardship will be treated differently.</w:t>
      </w:r>
    </w:p>
    <w:p>
      <w:pPr>
        <w:pStyle w:val="4"/>
        <w:keepNext w:val="0"/>
        <w:keepLines w:val="0"/>
        <w:widowControl/>
        <w:numPr>
          <w:ilvl w:val="1"/>
          <w:numId w:val="3"/>
        </w:numPr>
        <w:suppressLineNumbers w:val="0"/>
        <w:ind w:left="0" w:firstLine="0"/>
        <w:rPr>
          <w:i w:val="0"/>
          <w:iCs w:val="0"/>
          <w:caps w:val="0"/>
          <w:color w:val="000000"/>
          <w:spacing w:val="0"/>
        </w:rPr>
      </w:pPr>
      <w:r>
        <w:rPr>
          <w:rFonts w:hint="default"/>
          <w:b w:val="0"/>
          <w:bCs w:val="0"/>
          <w:lang w:val="de-DE"/>
        </w:rPr>
        <w:t>Make claim via paper form: When a customer emails the insurance company a paper form of the travel insurance claim document to start the claim process.</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Make a claim via call</w:t>
      </w:r>
      <w:r>
        <w:rPr>
          <w:rFonts w:hint="default"/>
          <w:i w:val="0"/>
          <w:iCs w:val="0"/>
          <w:caps w:val="0"/>
          <w:color w:val="000000"/>
          <w:spacing w:val="0"/>
          <w:lang w:val="de-DE"/>
        </w:rPr>
        <w:t>: When a customer calls the insurance company on the phone to start the travel insurance claim process.</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Submit initial travel claim</w:t>
      </w:r>
      <w:r>
        <w:rPr>
          <w:rFonts w:hint="default"/>
          <w:i w:val="0"/>
          <w:iCs w:val="0"/>
          <w:caps w:val="0"/>
          <w:color w:val="000000"/>
          <w:spacing w:val="0"/>
          <w:lang w:val="de-DE"/>
        </w:rPr>
        <w:t>: After the customer filled out the claim form, they need to sent it to the insurance company (e.g. via Mail or E-Mail).</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Fill out claim information</w:t>
      </w:r>
      <w:r>
        <w:rPr>
          <w:rFonts w:hint="default"/>
          <w:i w:val="0"/>
          <w:iCs w:val="0"/>
          <w:caps w:val="0"/>
          <w:color w:val="000000"/>
          <w:spacing w:val="0"/>
          <w:lang w:val="de-DE"/>
        </w:rPr>
        <w:t>: When the claims consultant from the insurance company receives a claim via call, paper form or email, they will log the information into the companies system to be able to process the claim further. This way, the evidence received via either form is logged in the insurance companies system to start the process for reimbursing.</w:t>
      </w:r>
    </w:p>
    <w:p>
      <w:pPr>
        <w:pStyle w:val="4"/>
        <w:keepNext w:val="0"/>
        <w:keepLines w:val="0"/>
        <w:widowControl/>
        <w:numPr>
          <w:ilvl w:val="1"/>
          <w:numId w:val="3"/>
        </w:numPr>
        <w:suppressLineNumbers w:val="0"/>
        <w:ind w:left="0" w:firstLine="0"/>
        <w:rPr>
          <w:i w:val="0"/>
          <w:iCs w:val="0"/>
          <w:caps w:val="0"/>
          <w:color w:val="000000"/>
          <w:spacing w:val="0"/>
        </w:rPr>
      </w:pPr>
      <w:r>
        <w:rPr>
          <w:rFonts w:hint="default"/>
          <w:i w:val="0"/>
          <w:iCs w:val="0"/>
          <w:caps w:val="0"/>
          <w:color w:val="000000"/>
          <w:spacing w:val="0"/>
        </w:rPr>
        <w:t>Vulnerability or financial hardship mentioned</w:t>
      </w:r>
      <w:r>
        <w:rPr>
          <w:rFonts w:hint="default"/>
          <w:i w:val="0"/>
          <w:iCs w:val="0"/>
          <w:caps w:val="0"/>
          <w:color w:val="000000"/>
          <w:spacing w:val="0"/>
          <w:lang w:val="de-DE"/>
        </w:rPr>
        <w:t xml:space="preserve">: If the customer mentions vulnerability or financial hardship during the claims process, the claim will be handled in a different way than the standard claims process. </w:t>
      </w:r>
    </w:p>
    <w:p>
      <w:pPr>
        <w:pStyle w:val="4"/>
        <w:keepNext w:val="0"/>
        <w:keepLines w:val="0"/>
        <w:widowControl/>
        <w:numPr>
          <w:ilvl w:val="0"/>
          <w:numId w:val="0"/>
        </w:numPr>
        <w:suppressLineNumbers w:val="0"/>
        <w:ind w:leftChars="0"/>
        <w:rPr>
          <w:rFonts w:hint="default"/>
          <w:b/>
          <w:bCs/>
          <w:lang w:val="de-DE"/>
        </w:rPr>
      </w:pPr>
    </w:p>
    <w:p>
      <w:pPr>
        <w:pStyle w:val="4"/>
        <w:keepNext w:val="0"/>
        <w:keepLines w:val="0"/>
        <w:widowControl/>
        <w:numPr>
          <w:ilvl w:val="0"/>
          <w:numId w:val="4"/>
        </w:numPr>
        <w:suppressLineNumbers w:val="0"/>
        <w:ind w:leftChars="0"/>
        <w:rPr>
          <w:i w:val="0"/>
          <w:iCs w:val="0"/>
          <w:caps w:val="0"/>
          <w:color w:val="000000"/>
          <w:spacing w:val="0"/>
        </w:rPr>
      </w:pPr>
      <w:r>
        <w:rPr>
          <w:rFonts w:hint="default"/>
          <w:b w:val="0"/>
          <w:bCs w:val="0"/>
          <w:lang w:val="de-DE"/>
        </w:rPr>
        <w:t>Ensure claim completness: The claims consultant is reviewing the information received for a travel insurance claim and ensuring that all mandatory information is provided. Missing information or supporting documents can be requested and the customer is required to provide these. If they fail to do so, the insurance company will inform them about the complaint process.</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Review claim completness: The claims consultant is reviewing any evidence that’s been received to determine if the customer has filled out the form with all the mandatory required information for a travel insurance claim.</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Ensure claim completness: Making sure the customer has provided the insurance company with the missing information within 4 months, otherwise they are informed about the complaint processes.</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Request missing information: If the intially provided information and documents are not sufficient, the insurance company needs to follow up with the customer to make sure that they provide the necessary information and documents to support the claim they made. The insurance company has 10 business days to sent the initial request for missing information to the customer.</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Missing information requested: If the insurance company needs further information to process a customers claim, they have 10 business days to sent the initial request of missing information to the customer. If a request for information has been sent before without receiving the requested information, the insurance company has to sent a new request for missing information 24h after the previous request.</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Provide information on claim: The customer is required to provide the insurance company with information on the claim if a required information is missing.</w:t>
      </w:r>
    </w:p>
    <w:p>
      <w:pPr>
        <w:pStyle w:val="4"/>
        <w:keepNext w:val="0"/>
        <w:keepLines w:val="0"/>
        <w:widowControl/>
        <w:numPr>
          <w:ilvl w:val="1"/>
          <w:numId w:val="4"/>
        </w:numPr>
        <w:suppressLineNumbers w:val="0"/>
        <w:rPr>
          <w:i w:val="0"/>
          <w:iCs w:val="0"/>
          <w:caps w:val="0"/>
          <w:color w:val="000000"/>
          <w:spacing w:val="0"/>
        </w:rPr>
      </w:pPr>
      <w:r>
        <w:rPr>
          <w:rFonts w:hint="default"/>
          <w:b w:val="0"/>
          <w:bCs w:val="0"/>
          <w:lang w:val="de-DE"/>
        </w:rPr>
        <w:t>Provide required documents: The customer is required to provide the insurance company with supporting documents on the claim if a required document is missing.</w:t>
      </w:r>
    </w:p>
    <w:p>
      <w:pPr>
        <w:pStyle w:val="4"/>
        <w:keepNext w:val="0"/>
        <w:keepLines w:val="0"/>
        <w:widowControl/>
        <w:numPr>
          <w:ilvl w:val="0"/>
          <w:numId w:val="0"/>
        </w:numPr>
        <w:suppressLineNumbers w:val="0"/>
        <w:ind w:leftChars="0"/>
        <w:rPr>
          <w:rFonts w:hint="default"/>
          <w:b w:val="0"/>
          <w:bCs w:val="0"/>
          <w:lang w:val="de-DE"/>
        </w:rPr>
      </w:pPr>
    </w:p>
    <w:p>
      <w:pPr>
        <w:pStyle w:val="4"/>
        <w:keepNext w:val="0"/>
        <w:keepLines w:val="0"/>
        <w:widowControl/>
        <w:numPr>
          <w:ilvl w:val="0"/>
          <w:numId w:val="4"/>
        </w:numPr>
        <w:suppressLineNumbers w:val="0"/>
        <w:ind w:left="0" w:leftChars="0" w:firstLine="0" w:firstLineChars="0"/>
        <w:rPr>
          <w:rFonts w:hint="default"/>
          <w:b w:val="0"/>
          <w:bCs w:val="0"/>
          <w:lang w:val="de-DE"/>
        </w:rPr>
      </w:pPr>
      <w:r>
        <w:rPr>
          <w:rFonts w:hint="default"/>
          <w:b w:val="0"/>
          <w:bCs w:val="0"/>
          <w:lang w:val="de-DE"/>
        </w:rPr>
        <w:t xml:space="preserve">Decide about claim: Once the claim information is complete, the insurance company must decide whether to accept or decline the claim and calculate the payout. The insurance company reviews the customer's information against the policy product to ensure the claim meets eligibility requirements. A decision must also be made for non-standard claims. </w:t>
      </w:r>
    </w:p>
    <w:p>
      <w:pPr>
        <w:pStyle w:val="4"/>
        <w:keepNext w:val="0"/>
        <w:keepLines w:val="0"/>
        <w:widowControl/>
        <w:numPr>
          <w:ilvl w:val="1"/>
          <w:numId w:val="4"/>
        </w:numPr>
        <w:suppressLineNumbers w:val="0"/>
        <w:ind w:left="0" w:leftChars="0" w:firstLine="0" w:firstLineChars="0"/>
        <w:rPr>
          <w:rFonts w:hint="default"/>
          <w:b w:val="0"/>
          <w:bCs w:val="0"/>
          <w:lang w:val="de-DE"/>
        </w:rPr>
      </w:pPr>
      <w:r>
        <w:rPr>
          <w:rFonts w:hint="default"/>
          <w:b w:val="0"/>
          <w:bCs w:val="0"/>
          <w:lang w:val="de-DE"/>
        </w:rPr>
        <w:t>Decide about non-standard claim: Under certain circumstances, a claim is considered as non-standard. The insurance company needs to decide about a non-standard claim within 12 months, otherwise the customer is informed about the complaints process.</w:t>
      </w:r>
    </w:p>
    <w:p>
      <w:pPr>
        <w:pStyle w:val="4"/>
        <w:keepNext w:val="0"/>
        <w:keepLines w:val="0"/>
        <w:widowControl/>
        <w:numPr>
          <w:ilvl w:val="1"/>
          <w:numId w:val="4"/>
        </w:numPr>
        <w:suppressLineNumbers w:val="0"/>
        <w:ind w:left="0" w:leftChars="0" w:firstLine="0" w:firstLineChars="0"/>
        <w:rPr>
          <w:i w:val="0"/>
          <w:iCs w:val="0"/>
          <w:caps w:val="0"/>
          <w:color w:val="000000"/>
          <w:spacing w:val="0"/>
        </w:rPr>
      </w:pPr>
      <w:r>
        <w:rPr>
          <w:rFonts w:hint="default"/>
          <w:b w:val="0"/>
          <w:bCs w:val="0"/>
          <w:lang w:val="de-DE"/>
        </w:rPr>
        <w:t>Decide about claim: Once the provided information for a claim is considered complete, the insurance company has 10 business days to make a decision to decline or accept the claim and calculate the payout amount.</w:t>
      </w:r>
    </w:p>
    <w:p>
      <w:pPr>
        <w:pStyle w:val="4"/>
        <w:keepNext w:val="0"/>
        <w:keepLines w:val="0"/>
        <w:widowControl/>
        <w:numPr>
          <w:ilvl w:val="1"/>
          <w:numId w:val="4"/>
        </w:numPr>
        <w:suppressLineNumbers w:val="0"/>
        <w:ind w:left="0" w:leftChars="0" w:firstLine="0" w:firstLineChars="0"/>
        <w:rPr>
          <w:i w:val="0"/>
          <w:iCs w:val="0"/>
          <w:caps w:val="0"/>
          <w:color w:val="000000"/>
          <w:spacing w:val="0"/>
        </w:rPr>
      </w:pPr>
      <w:r>
        <w:rPr>
          <w:rFonts w:hint="default"/>
          <w:i w:val="0"/>
          <w:iCs w:val="0"/>
          <w:caps w:val="0"/>
          <w:color w:val="000000"/>
          <w:spacing w:val="0"/>
        </w:rPr>
        <w:t>Review claim eligibility</w:t>
      </w:r>
      <w:r>
        <w:rPr>
          <w:rFonts w:hint="default"/>
          <w:i w:val="0"/>
          <w:iCs w:val="0"/>
          <w:caps w:val="0"/>
          <w:color w:val="000000"/>
          <w:spacing w:val="0"/>
          <w:lang w:val="de-DE"/>
        </w:rPr>
        <w:t>: The insurance company analyses, if the claim that the customer made meets the eligibility requirements for the insurance product. This is done by comparing the information provided by the customer and the policy product that the customers claim is against. The review ensures, that what the customer claims can be claimed under the policy they purchased.</w:t>
      </w:r>
    </w:p>
    <w:p>
      <w:pPr>
        <w:pStyle w:val="4"/>
        <w:keepNext w:val="0"/>
        <w:keepLines w:val="0"/>
        <w:widowControl/>
        <w:numPr>
          <w:ilvl w:val="0"/>
          <w:numId w:val="0"/>
        </w:numPr>
        <w:suppressLineNumbers w:val="0"/>
        <w:ind w:leftChars="0"/>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rPr>
          <w:rFonts w:hint="default"/>
          <w:i w:val="0"/>
          <w:iCs w:val="0"/>
          <w:caps w:val="0"/>
          <w:color w:val="000000"/>
          <w:spacing w:val="0"/>
          <w:lang w:val="de-DE"/>
        </w:rPr>
      </w:pPr>
      <w:r>
        <w:rPr>
          <w:rFonts w:hint="default"/>
          <w:i w:val="0"/>
          <w:iCs w:val="0"/>
          <w:caps w:val="0"/>
          <w:color w:val="000000"/>
          <w:spacing w:val="0"/>
          <w:lang w:val="de-DE"/>
        </w:rPr>
        <w:t>Open file review: The insurance company's control unit can halt payment processing if any issues with the claim record are found during the open file review, which occurs before a payout to the customer is processed. During the review, a percentage of claims are randomly selected to verify the eligibility and fulfillment of requirements and process steps.</w:t>
      </w:r>
    </w:p>
    <w:p>
      <w:pPr>
        <w:pStyle w:val="4"/>
        <w:keepNext w:val="0"/>
        <w:keepLines w:val="0"/>
        <w:widowControl/>
        <w:numPr>
          <w:ilvl w:val="1"/>
          <w:numId w:val="4"/>
        </w:numPr>
        <w:suppressLineNumbers w:val="0"/>
        <w:ind w:left="0" w:leftChars="0" w:firstLine="0" w:firstLineChars="0"/>
        <w:rPr>
          <w:rFonts w:hint="default"/>
          <w:i w:val="0"/>
          <w:iCs w:val="0"/>
          <w:caps w:val="0"/>
          <w:color w:val="000000"/>
          <w:spacing w:val="0"/>
          <w:lang w:val="de-DE"/>
        </w:rPr>
      </w:pPr>
      <w:r>
        <w:rPr>
          <w:rFonts w:hint="default"/>
          <w:i w:val="0"/>
          <w:iCs w:val="0"/>
          <w:caps w:val="0"/>
          <w:color w:val="000000"/>
          <w:spacing w:val="0"/>
          <w:lang w:val="de-DE"/>
        </w:rPr>
        <w:t>Raise issue open file review: If there is any issue with the claim record identified in open file review, the control unit of the insurance company can stop the payment being processed until the issue is dealt with sufficiently.</w:t>
      </w:r>
    </w:p>
    <w:p>
      <w:pPr>
        <w:pStyle w:val="4"/>
        <w:keepNext w:val="0"/>
        <w:keepLines w:val="0"/>
        <w:widowControl/>
        <w:numPr>
          <w:ilvl w:val="1"/>
          <w:numId w:val="4"/>
        </w:numPr>
        <w:suppressLineNumbers w:val="0"/>
        <w:ind w:left="0" w:leftChars="0" w:firstLine="0" w:firstLineChars="0"/>
        <w:rPr>
          <w:rFonts w:hint="default"/>
          <w:i w:val="0"/>
          <w:iCs w:val="0"/>
          <w:caps w:val="0"/>
          <w:color w:val="000000"/>
          <w:spacing w:val="0"/>
          <w:lang w:val="de-DE"/>
        </w:rPr>
      </w:pPr>
      <w:r>
        <w:rPr>
          <w:rFonts w:hint="default"/>
          <w:i w:val="0"/>
          <w:iCs w:val="0"/>
          <w:caps w:val="0"/>
          <w:color w:val="000000"/>
          <w:spacing w:val="0"/>
          <w:lang w:val="de-DE"/>
        </w:rPr>
        <w:t>Check open file claim: The open file review can happen before a compensation payment to the customer has been processed by the insurance company. After a payout has been requested by the claims department, 6% of the claims are randomly selected for the open file review. Then the insurers control unit has 24h to review the claims eligibility including the granted payout amount and if all necessary requirements and process steps were fullfilled.</w:t>
      </w:r>
    </w:p>
    <w:p>
      <w:pPr>
        <w:pStyle w:val="4"/>
        <w:keepNext w:val="0"/>
        <w:keepLines w:val="0"/>
        <w:widowControl/>
        <w:numPr>
          <w:ilvl w:val="0"/>
          <w:numId w:val="0"/>
        </w:numPr>
        <w:suppressLineNumbers w:val="0"/>
        <w:jc w:val="left"/>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Closing the claim: Once a claim is approved for compensation, the financial department pays out the compensation and informs the customer of the success and amount of the payout. If the claim is ineligible under the policy, the customer is notified of the rejection.</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Create payout request: When the claim qualifies for an insurance compensation, a payout request for the claim is created in the insurance companies system.</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Close claim: After the payout request has been sent or the claim has been declined, the claim will be closed by the insurers claims department. This means the claims department will not take any more actions concerning this claim unless triggered by an action from outside the unit (e.g. customer enquirie or control unit request for further review).</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Make payment to customer: The insurers financial department proceeds with the payout requests from the claims departments and payes the claims compensation to the customer. The customer is informed about the success and the amount of their claims compensation.</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 xml:space="preserve">Eligibility rejection notice sent: If the customers claim is not eligible under the insurance policy product the customer holds, they will be notified about the rejection of their claim. </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Payout notice sent: If the customers receives a compensation for the claim, they will be notified about the payment.</w:t>
      </w:r>
    </w:p>
    <w:p>
      <w:pPr>
        <w:pStyle w:val="4"/>
        <w:keepNext w:val="0"/>
        <w:keepLines w:val="0"/>
        <w:widowControl/>
        <w:numPr>
          <w:ilvl w:val="0"/>
          <w:numId w:val="0"/>
        </w:numPr>
        <w:suppressLineNumbers w:val="0"/>
        <w:jc w:val="left"/>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Closed file review: When a claim is closed, the insurer's control unit can still conducts a closed file review for a percentage of randomly selected travel claims. The review ensures eligibility and adherence to process steps and may result in corrective actions for incorrect payments or raised internal reviews for issues concerning documentary evidence or excessive compensation.</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Check closed file claim: A claim is considered to be closed if that has been rejected or the compensation has been paid out. From the time of the closing, the insurers control unit has 1 month time to conduct a closed file review. 5% of the travel claims are randomly selected for the closed file review. Like in the open file review, the insurers control unit reviews the claims eligibility including the granted payout amount and if all necessary requirements and process steps were fullfilled.</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Raise issue for closed file review: As the files are closed, this review is more reactive. If there are issues around incorrect payment amounts, the main action will come out of not paying the customer enough because this needs to be corrected. In most cases, the insurers control unit identifies issues concerning no adherence of documentary evidence or the customers compensation being too high. In these cases an internal review of those issues is raised within the departments of the insurance company.</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Calculate deviating payout amount: If the insurers control unit identifies payments granted outside of the correct payment amount, the deviation is calculated in order to understand how much money the company has lost or how much more the customer needs to be compensated.</w:t>
      </w:r>
    </w:p>
    <w:p>
      <w:pPr>
        <w:pStyle w:val="4"/>
        <w:keepNext w:val="0"/>
        <w:keepLines w:val="0"/>
        <w:widowControl/>
        <w:numPr>
          <w:ilvl w:val="0"/>
          <w:numId w:val="0"/>
        </w:numPr>
        <w:suppressLineNumbers w:val="0"/>
        <w:jc w:val="left"/>
        <w:rPr>
          <w:rFonts w:hint="default"/>
          <w:i w:val="0"/>
          <w:iCs w:val="0"/>
          <w:caps w:val="0"/>
          <w:color w:val="000000"/>
          <w:spacing w:val="0"/>
          <w:lang w:val="de-DE"/>
        </w:rPr>
      </w:pPr>
    </w:p>
    <w:p>
      <w:pPr>
        <w:pStyle w:val="4"/>
        <w:keepNext w:val="0"/>
        <w:keepLines w:val="0"/>
        <w:widowControl/>
        <w:numPr>
          <w:ilvl w:val="0"/>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Update &amp; answer customer: During the travel claims process, the insurance company provides regular updates to the customer and informs them of the claims process. Customers have the option to enquire about their claim at any time, and the insurance company must respond to such requests. If the customer requests to withdraw the claim, the processing of the claim will be cancelled.</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Give progress update: Once a claim has been reiceived by the insurance company, the customer is given an update about the claims progress every 20 business days.</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Inform about claims process: Once a claim has been logged in the insurance companies system, the customer is informed about the claims process within 10 business days.</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Respond to customer request: Any time during the travel claims process, the customer has the option to enquire about their claim. The insurance company has 10 business days to respond to such requests.</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 xml:space="preserve">Information access requested: If the customer requests access to information during the claims process, the claim will be handled in a different way than the standard claims process. </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Complaint sent: If the customer complaints during the claims process, the claim will be reviewed by the insurnace company.</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Claim cancellation request sent: If the customer requests to withdraw the claim, the processing of the claim will be cancelled. This could be the case if the customer decides to make the claim at a later time or not to make a claim for a certain incident at all.</w:t>
      </w:r>
    </w:p>
    <w:p>
      <w:pPr>
        <w:pStyle w:val="4"/>
        <w:keepNext w:val="0"/>
        <w:keepLines w:val="0"/>
        <w:widowControl/>
        <w:numPr>
          <w:ilvl w:val="1"/>
          <w:numId w:val="4"/>
        </w:numPr>
        <w:suppressLineNumbers w:val="0"/>
        <w:ind w:left="0" w:leftChars="0" w:firstLine="0" w:firstLineChars="0"/>
        <w:jc w:val="left"/>
        <w:rPr>
          <w:rFonts w:hint="default"/>
          <w:i w:val="0"/>
          <w:iCs w:val="0"/>
          <w:caps w:val="0"/>
          <w:color w:val="000000"/>
          <w:spacing w:val="0"/>
          <w:lang w:val="de-DE"/>
        </w:rPr>
      </w:pPr>
      <w:r>
        <w:rPr>
          <w:rFonts w:hint="default"/>
          <w:i w:val="0"/>
          <w:iCs w:val="0"/>
          <w:caps w:val="0"/>
          <w:color w:val="000000"/>
          <w:spacing w:val="0"/>
          <w:lang w:val="de-DE"/>
        </w:rPr>
        <w:t>Information about complaints process sent: If the insurance company did not decide about a non-standard claim within 12 months or the claim has been incomplete for 4 months, the customer is informed about the complaints process.</w:t>
      </w:r>
    </w:p>
    <w:p>
      <w:pPr>
        <w:rPr>
          <w:rFonts w:hint="default"/>
          <w:b/>
          <w:bCs/>
          <w:lang w:val="de-DE"/>
        </w:rPr>
      </w:pPr>
      <w:r>
        <w:rPr>
          <w:rFonts w:hint="default"/>
          <w:b/>
          <w:bCs/>
          <w:lang w:val="de-DE"/>
        </w:rPr>
        <w:br w:type="page"/>
      </w:r>
    </w:p>
    <w:p>
      <w:pPr>
        <w:numPr>
          <w:ilvl w:val="0"/>
          <w:numId w:val="1"/>
        </w:numPr>
        <w:ind w:left="425" w:leftChars="0" w:hanging="425" w:firstLineChars="0"/>
        <w:rPr>
          <w:rFonts w:hint="default"/>
          <w:b w:val="0"/>
          <w:bCs w:val="0"/>
          <w:lang w:val="de-DE"/>
        </w:rPr>
      </w:pPr>
      <w:r>
        <w:rPr>
          <w:rFonts w:hint="default"/>
          <w:b/>
          <w:bCs/>
          <w:sz w:val="20"/>
          <w:szCs w:val="20"/>
          <w:u w:val="none"/>
          <w:lang w:val="de-DE"/>
        </w:rPr>
        <w:t>Information about the regulation</w:t>
      </w:r>
      <w:r>
        <w:rPr>
          <w:rFonts w:hint="default"/>
          <w:b/>
          <w:bCs/>
          <w:lang w:val="de-DE"/>
        </w:rPr>
        <w:t xml:space="preserve"> </w:t>
      </w:r>
      <w:r>
        <w:rPr>
          <w:rFonts w:hint="default"/>
          <w:b w:val="0"/>
          <w:bCs w:val="0"/>
          <w:lang w:val="de-DE"/>
        </w:rPr>
        <w:t>(only one at a time tested do to the context size limit of GPT-4 in chat version):</w:t>
      </w:r>
    </w:p>
    <w:p>
      <w:pPr>
        <w:rPr>
          <w:rFonts w:hint="default"/>
          <w:b w:val="0"/>
          <w:bCs w:val="0"/>
          <w:lang w:val="de-DE"/>
        </w:rPr>
      </w:pPr>
    </w:p>
    <w:p>
      <w:pPr>
        <w:rPr>
          <w:rFonts w:hint="default"/>
          <w:b w:val="0"/>
          <w:bCs w:val="0"/>
          <w:lang w:val="de-DE"/>
        </w:rPr>
      </w:pPr>
    </w:p>
    <w:p>
      <w:pPr>
        <w:numPr>
          <w:ilvl w:val="0"/>
          <w:numId w:val="5"/>
        </w:numPr>
        <w:rPr>
          <w:rFonts w:hint="default"/>
          <w:b w:val="0"/>
          <w:bCs w:val="0"/>
          <w:lang w:val="de-DE"/>
        </w:rPr>
      </w:pPr>
      <w:r>
        <w:rPr>
          <w:rFonts w:hint="default"/>
          <w:b w:val="0"/>
          <w:bCs w:val="0"/>
          <w:lang w:val="de-DE"/>
        </w:rPr>
        <w:t>Regulatory text:“We, our Distributors and our Service Suppliers will be honest, efficient, fair, transparent and timely in our dealings with you.“</w:t>
      </w:r>
    </w:p>
    <w:p>
      <w:pPr>
        <w:numPr>
          <w:numId w:val="0"/>
        </w:numPr>
        <w:rPr>
          <w:rFonts w:hint="default"/>
          <w:b w:val="0"/>
          <w:bCs w:val="0"/>
          <w:highlight w:val="green"/>
          <w:lang w:val="de-DE"/>
        </w:rPr>
      </w:pPr>
      <w:r>
        <w:rPr>
          <w:rFonts w:hint="default"/>
          <w:b w:val="0"/>
          <w:bCs w:val="0"/>
          <w:highlight w:val="green"/>
          <w:lang w:val="de-DE"/>
        </w:rPr>
        <w:t>Document Section: Our obligation to you</w:t>
      </w:r>
    </w:p>
    <w:p>
      <w:pPr>
        <w:rPr>
          <w:rFonts w:hint="default"/>
          <w:b w:val="0"/>
          <w:bCs w:val="0"/>
          <w:highlight w:val="green"/>
          <w:lang w:val="de-DE"/>
        </w:rPr>
      </w:pPr>
      <w:r>
        <w:rPr>
          <w:rFonts w:hint="default"/>
          <w:b w:val="0"/>
          <w:bCs w:val="0"/>
          <w:highlight w:val="green"/>
          <w:lang w:val="de-DE"/>
        </w:rPr>
        <w:t>From the regulatory document: General Insurance Code of Practice</w:t>
      </w:r>
    </w:p>
    <w:p>
      <w:pPr>
        <w:rPr>
          <w:rFonts w:hint="default"/>
          <w:b w:val="0"/>
          <w:bCs w:val="0"/>
          <w:highlight w:val="green"/>
          <w:lang w:val="de-DE"/>
        </w:rPr>
      </w:pPr>
      <w:r>
        <w:rPr>
          <w:rFonts w:hint="default"/>
          <w:b w:val="0"/>
          <w:bCs w:val="0"/>
          <w:highlight w:val="green"/>
          <w:lang w:val="de-DE"/>
        </w:rPr>
        <w:t>About: The "General Insurance Code of Practice" is a set of voluntary guidelines developed by the Insurance Council of Australia (ICA) to improve insurers' service to consumers. It covers standards for the sale, communication, and handling of insurance products and includes dispute resolution procedures.</w:t>
      </w:r>
    </w:p>
    <w:p>
      <w:pPr>
        <w:rPr>
          <w:rFonts w:hint="default"/>
          <w:b w:val="0"/>
          <w:bCs w:val="0"/>
          <w:highlight w:val="green"/>
          <w:lang w:val="de-DE"/>
        </w:rPr>
      </w:pPr>
      <w:r>
        <w:rPr>
          <w:rFonts w:hint="default"/>
          <w:b w:val="0"/>
          <w:bCs w:val="0"/>
          <w:highlight w:val="green"/>
          <w:lang w:val="de-DE"/>
        </w:rPr>
        <w:t>Applicability: The code applies to all general insurance products and insurance providers who are members of the ICA, which includes most major insurance companies operating in Australia. It covers various types of insurance, including home and contents insurance, car insurance, and travel insurance. It is regularly reviewed to ensure that it remains relevant and effective.</w:t>
      </w:r>
    </w:p>
    <w:p>
      <w:pPr>
        <w:rPr>
          <w:rFonts w:hint="default"/>
          <w:b w:val="0"/>
          <w:bCs w:val="0"/>
          <w:lang w:val="de-DE"/>
        </w:rPr>
      </w:pPr>
    </w:p>
    <w:p>
      <w:pPr>
        <w:numPr>
          <w:ilvl w:val="0"/>
          <w:numId w:val="5"/>
        </w:numPr>
        <w:ind w:left="0" w:leftChars="0" w:firstLine="0" w:firstLineChars="0"/>
        <w:rPr>
          <w:rFonts w:hint="default"/>
          <w:b w:val="0"/>
          <w:bCs w:val="0"/>
          <w:lang w:val="de-DE"/>
        </w:rPr>
      </w:pPr>
      <w:r>
        <w:rPr>
          <w:rFonts w:hint="default"/>
          <w:b w:val="0"/>
          <w:bCs w:val="0"/>
          <w:lang w:val="de-DE"/>
        </w:rPr>
        <w:t>Regulatory text:“If we identify, or you tell us about a mistake we make in handling your claim, then we will immediately take action to correct the mistake.“</w:t>
      </w:r>
    </w:p>
    <w:p>
      <w:pPr>
        <w:numPr>
          <w:numId w:val="0"/>
        </w:numPr>
        <w:ind w:leftChars="0"/>
        <w:rPr>
          <w:rFonts w:hint="default"/>
          <w:b w:val="0"/>
          <w:bCs w:val="0"/>
          <w:highlight w:val="green"/>
          <w:lang w:val="de-DE"/>
        </w:rPr>
      </w:pPr>
      <w:r>
        <w:rPr>
          <w:rFonts w:hint="default"/>
          <w:b w:val="0"/>
          <w:bCs w:val="0"/>
          <w:highlight w:val="green"/>
          <w:lang w:val="de-DE"/>
        </w:rPr>
        <w:t>Document Section: Making a claim</w:t>
      </w:r>
    </w:p>
    <w:p>
      <w:pPr>
        <w:rPr>
          <w:rFonts w:hint="default"/>
          <w:b w:val="0"/>
          <w:bCs w:val="0"/>
          <w:highlight w:val="green"/>
          <w:lang w:val="de-DE"/>
        </w:rPr>
      </w:pPr>
      <w:r>
        <w:rPr>
          <w:rFonts w:hint="default"/>
          <w:b w:val="0"/>
          <w:bCs w:val="0"/>
          <w:highlight w:val="green"/>
          <w:lang w:val="de-DE"/>
        </w:rPr>
        <w:t>From the regulatory document: General Insurance Code of Practice</w:t>
      </w:r>
    </w:p>
    <w:p>
      <w:pPr>
        <w:rPr>
          <w:rFonts w:hint="default"/>
          <w:b w:val="0"/>
          <w:bCs w:val="0"/>
          <w:highlight w:val="green"/>
          <w:lang w:val="de-DE"/>
        </w:rPr>
      </w:pPr>
      <w:r>
        <w:rPr>
          <w:rFonts w:hint="default"/>
          <w:b w:val="0"/>
          <w:bCs w:val="0"/>
          <w:highlight w:val="green"/>
          <w:lang w:val="de-DE"/>
        </w:rPr>
        <w:t>About: The "General Insurance Code of Practice" is a set of voluntary guidelines developed by the Insurance Council of Australia (ICA) to improve insurers' service to consumers. It covers standards for the sale, communication, and handling of insurance products and includes dispute resolution procedures.</w:t>
      </w:r>
    </w:p>
    <w:p>
      <w:pPr>
        <w:rPr>
          <w:rFonts w:hint="default"/>
          <w:b w:val="0"/>
          <w:bCs w:val="0"/>
          <w:highlight w:val="green"/>
          <w:lang w:val="de-DE"/>
        </w:rPr>
      </w:pPr>
      <w:r>
        <w:rPr>
          <w:rFonts w:hint="default"/>
          <w:b w:val="0"/>
          <w:bCs w:val="0"/>
          <w:highlight w:val="green"/>
          <w:lang w:val="de-DE"/>
        </w:rPr>
        <w:t>Applicability: The code applies to all general insurance products and insurance providers who are members of the ICA, which includes most major insurance companies operating in Australia. It covers various types of insurance, including home and contents insurance, car insurance, and travel insurance. It is regularly reviewed to ensure that it remains relevant and effective.</w:t>
      </w:r>
    </w:p>
    <w:p>
      <w:pPr>
        <w:rPr>
          <w:rFonts w:hint="default"/>
          <w:b w:val="0"/>
          <w:bCs w:val="0"/>
          <w:lang w:val="de-DE"/>
        </w:rPr>
      </w:pPr>
    </w:p>
    <w:p>
      <w:pPr>
        <w:numPr>
          <w:ilvl w:val="0"/>
          <w:numId w:val="5"/>
        </w:numPr>
        <w:ind w:left="0" w:leftChars="0" w:firstLine="0" w:firstLineChars="0"/>
        <w:rPr>
          <w:rFonts w:hint="default"/>
          <w:b w:val="0"/>
          <w:bCs w:val="0"/>
          <w:lang w:val="de-DE"/>
        </w:rPr>
      </w:pPr>
      <w:r>
        <w:rPr>
          <w:rFonts w:hint="default"/>
          <w:b w:val="0"/>
          <w:bCs w:val="0"/>
          <w:lang w:val="de-DE"/>
        </w:rPr>
        <w:t>Regulatory text:“We may contact you by telephone, normal mail, email, electronic messages such as SMS, and via other means with promotional material and offers of products or services from us, our related companies, as well as offers from our business partners that we consider may be relevant and of interest to you. Where we contact you for promotional purposes, you can withdraw your consent at any time by calling us or by contacting us – see below.“</w:t>
      </w:r>
    </w:p>
    <w:p>
      <w:pPr>
        <w:numPr>
          <w:numId w:val="0"/>
        </w:numPr>
        <w:ind w:leftChars="0"/>
        <w:rPr>
          <w:rFonts w:hint="default"/>
          <w:b w:val="0"/>
          <w:bCs w:val="0"/>
          <w:highlight w:val="green"/>
          <w:lang w:val="de-DE"/>
        </w:rPr>
      </w:pPr>
      <w:r>
        <w:rPr>
          <w:rFonts w:hint="default"/>
          <w:b w:val="0"/>
          <w:bCs w:val="0"/>
          <w:highlight w:val="green"/>
          <w:lang w:val="de-DE"/>
        </w:rPr>
        <w:t>Document Section: Privacy Notice</w:t>
      </w:r>
    </w:p>
    <w:p>
      <w:pPr>
        <w:rPr>
          <w:rFonts w:hint="default"/>
          <w:b w:val="0"/>
          <w:bCs w:val="0"/>
          <w:highlight w:val="green"/>
          <w:lang w:val="de-DE"/>
        </w:rPr>
      </w:pPr>
      <w:r>
        <w:rPr>
          <w:rFonts w:hint="default"/>
          <w:b w:val="0"/>
          <w:bCs w:val="0"/>
          <w:highlight w:val="green"/>
          <w:lang w:val="de-DE"/>
        </w:rPr>
        <w:t>From the regulatory document: Travel Insurance Product Disclosure Statement of an australian based insurance company</w:t>
      </w:r>
    </w:p>
    <w:p>
      <w:pPr>
        <w:rPr>
          <w:rFonts w:hint="default"/>
          <w:b w:val="0"/>
          <w:bCs w:val="0"/>
          <w:highlight w:val="green"/>
          <w:lang w:val="de-DE"/>
        </w:rPr>
      </w:pPr>
      <w:r>
        <w:rPr>
          <w:rFonts w:hint="default"/>
          <w:b w:val="0"/>
          <w:bCs w:val="0"/>
          <w:highlight w:val="green"/>
          <w:lang w:val="de-DE"/>
        </w:rPr>
        <w:t>About: The "Travel Insurance Product Disclosure Statement" (PDS) is a document that informs consumers about the features, benefits, and limitations of a companies travel insurance products. It is intended to help consumers make informed decisions and understand the terms and conditions of their policy.</w:t>
      </w:r>
    </w:p>
    <w:p>
      <w:pPr>
        <w:rPr>
          <w:rFonts w:hint="default"/>
          <w:b w:val="0"/>
          <w:bCs w:val="0"/>
          <w:lang w:val="de-DE"/>
        </w:rPr>
      </w:pPr>
      <w:r>
        <w:rPr>
          <w:rFonts w:hint="default"/>
          <w:b w:val="0"/>
          <w:bCs w:val="0"/>
          <w:highlight w:val="green"/>
          <w:lang w:val="de-DE"/>
        </w:rPr>
        <w:t>Applicability: The Travel Insurance PDS applies to company_xy's travel insurance products and is intended for anyone considering purchasing company_xy's travel insurance, whether they are an individual or a business. It is available on the company website and should be read carefully before purchasing any company_xy travel insurance product.</w:t>
      </w:r>
    </w:p>
    <w:p>
      <w:pPr>
        <w:rPr>
          <w:rFonts w:hint="default"/>
          <w:b w:val="0"/>
          <w:bCs w:val="0"/>
          <w:lang w:val="de-DE"/>
        </w:rPr>
      </w:pPr>
    </w:p>
    <w:p>
      <w:pPr>
        <w:numPr>
          <w:ilvl w:val="0"/>
          <w:numId w:val="5"/>
        </w:numPr>
        <w:ind w:left="0" w:leftChars="0" w:firstLine="0" w:firstLineChars="0"/>
        <w:rPr>
          <w:rFonts w:hint="default"/>
          <w:b w:val="0"/>
          <w:bCs w:val="0"/>
          <w:lang w:val="de-DE"/>
        </w:rPr>
      </w:pPr>
      <w:r>
        <w:rPr>
          <w:rFonts w:hint="default"/>
          <w:b w:val="0"/>
          <w:bCs w:val="0"/>
          <w:lang w:val="de-DE"/>
        </w:rPr>
        <w:t>Regulatory text:“If there is a delay in claim notification, or you do not provide sufficient detail for company_xy  to consider your claim, we can reduce any claim payable by the amount of prejudice we have suffered because of the delay.“</w:t>
      </w:r>
    </w:p>
    <w:p>
      <w:pPr>
        <w:numPr>
          <w:ilvl w:val="0"/>
          <w:numId w:val="0"/>
        </w:numPr>
        <w:ind w:leftChars="0"/>
        <w:rPr>
          <w:rFonts w:hint="default"/>
          <w:b w:val="0"/>
          <w:bCs w:val="0"/>
          <w:highlight w:val="green"/>
          <w:lang w:val="de-DE"/>
        </w:rPr>
      </w:pPr>
      <w:r>
        <w:rPr>
          <w:rFonts w:hint="default"/>
          <w:b w:val="0"/>
          <w:bCs w:val="0"/>
          <w:highlight w:val="green"/>
          <w:lang w:val="de-DE"/>
        </w:rPr>
        <w:t>Document Section: Claims</w:t>
      </w:r>
    </w:p>
    <w:p>
      <w:pPr>
        <w:rPr>
          <w:rFonts w:hint="default"/>
          <w:b w:val="0"/>
          <w:bCs w:val="0"/>
          <w:highlight w:val="green"/>
          <w:lang w:val="de-DE"/>
        </w:rPr>
      </w:pPr>
      <w:r>
        <w:rPr>
          <w:rFonts w:hint="default"/>
          <w:b w:val="0"/>
          <w:bCs w:val="0"/>
          <w:highlight w:val="green"/>
          <w:lang w:val="de-DE"/>
        </w:rPr>
        <w:t>From the regulatory document: Travel Insurance Product Disclosure Statement of an australian based insurance company</w:t>
      </w:r>
    </w:p>
    <w:p>
      <w:pPr>
        <w:rPr>
          <w:rFonts w:hint="default"/>
          <w:b w:val="0"/>
          <w:bCs w:val="0"/>
          <w:highlight w:val="green"/>
          <w:lang w:val="de-DE"/>
        </w:rPr>
      </w:pPr>
      <w:r>
        <w:rPr>
          <w:rFonts w:hint="default"/>
          <w:b w:val="0"/>
          <w:bCs w:val="0"/>
          <w:highlight w:val="green"/>
          <w:lang w:val="de-DE"/>
        </w:rPr>
        <w:t>About: The "Travel Insurance Product Disclosure Statement" (PDS) is a document that informs consumers about the features, benefits, and limitations of a companies travel insurance products. It is intended to help consumers make informed decisions and understand the terms and conditions of their policy.</w:t>
      </w:r>
    </w:p>
    <w:p>
      <w:pPr>
        <w:rPr>
          <w:rFonts w:hint="default"/>
          <w:b w:val="0"/>
          <w:bCs w:val="0"/>
          <w:lang w:val="de-DE"/>
        </w:rPr>
      </w:pPr>
      <w:r>
        <w:rPr>
          <w:rFonts w:hint="default"/>
          <w:b w:val="0"/>
          <w:bCs w:val="0"/>
          <w:highlight w:val="green"/>
          <w:lang w:val="de-DE"/>
        </w:rPr>
        <w:t>Applicability: The Travel Insurance PDS applies to company_xy's travel insurance products and is intended for anyone considering purchasing company_xy's travel insurance, whether they are an individual or a business. It is available on the company website and should be read carefully before purchasing any company_xy travel insurance product.</w:t>
      </w:r>
    </w:p>
    <w:p>
      <w:pPr>
        <w:rPr>
          <w:rFonts w:hint="default"/>
          <w:b w:val="0"/>
          <w:bCs w:val="0"/>
          <w:lang w:val="de-DE"/>
        </w:rPr>
      </w:pPr>
    </w:p>
    <w:p>
      <w:pPr>
        <w:numPr>
          <w:ilvl w:val="0"/>
          <w:numId w:val="5"/>
        </w:numPr>
        <w:ind w:left="0" w:leftChars="0" w:firstLine="0" w:firstLineChars="0"/>
        <w:rPr>
          <w:rFonts w:hint="default"/>
          <w:b w:val="0"/>
          <w:bCs w:val="0"/>
          <w:lang w:val="de-DE"/>
        </w:rPr>
      </w:pPr>
      <w:r>
        <w:rPr>
          <w:rFonts w:hint="default"/>
          <w:b w:val="0"/>
          <w:bCs w:val="0"/>
          <w:lang w:val="de-DE"/>
        </w:rPr>
        <w:t>Regulatory text:“The AML/CTF Rules may provide that, if a reporting entity commences to provide, or provides, a specified kind of designated service to a customer, the reporting entity must make a record of information relating to the provision of the service.“</w:t>
      </w:r>
    </w:p>
    <w:p>
      <w:pPr>
        <w:numPr>
          <w:ilvl w:val="0"/>
          <w:numId w:val="0"/>
        </w:numPr>
        <w:ind w:leftChars="0"/>
        <w:rPr>
          <w:rFonts w:hint="default"/>
          <w:b w:val="0"/>
          <w:bCs w:val="0"/>
          <w:lang w:val="de-DE"/>
        </w:rPr>
      </w:pPr>
      <w:r>
        <w:rPr>
          <w:rFonts w:hint="default"/>
          <w:b w:val="0"/>
          <w:bCs w:val="0"/>
          <w:highlight w:val="green"/>
          <w:lang w:val="de-DE"/>
        </w:rPr>
        <w:t>Document Section: Record‑keeping requirements</w:t>
      </w:r>
    </w:p>
    <w:p>
      <w:pPr>
        <w:rPr>
          <w:rFonts w:hint="default"/>
          <w:b w:val="0"/>
          <w:bCs w:val="0"/>
          <w:highlight w:val="green"/>
          <w:lang w:val="de-DE"/>
        </w:rPr>
      </w:pPr>
      <w:r>
        <w:rPr>
          <w:rFonts w:hint="default"/>
          <w:b w:val="0"/>
          <w:bCs w:val="0"/>
          <w:highlight w:val="green"/>
          <w:lang w:val="de-DE"/>
        </w:rPr>
        <w:t>From the regulatory document: Anti-Money Laundering and Counter-Terrorism Financing Act 2006</w:t>
      </w:r>
    </w:p>
    <w:p>
      <w:pPr>
        <w:rPr>
          <w:rFonts w:hint="default"/>
          <w:b w:val="0"/>
          <w:bCs w:val="0"/>
          <w:highlight w:val="green"/>
          <w:lang w:val="de-DE"/>
        </w:rPr>
      </w:pPr>
      <w:r>
        <w:rPr>
          <w:rFonts w:hint="default"/>
          <w:b w:val="0"/>
          <w:bCs w:val="0"/>
          <w:highlight w:val="green"/>
          <w:lang w:val="de-DE"/>
        </w:rPr>
        <w:t xml:space="preserve">About: The Anti-Money Laundering and Counter-Terrorism Financing Act 2006 (AML/CTF Act) is a law aimed at preventing money laundering and the financing of terrorism in Australia. </w:t>
      </w:r>
    </w:p>
    <w:p>
      <w:pPr>
        <w:rPr>
          <w:rFonts w:hint="default"/>
          <w:b w:val="0"/>
          <w:bCs w:val="0"/>
          <w:highlight w:val="green"/>
          <w:lang w:val="de-DE"/>
        </w:rPr>
      </w:pPr>
      <w:r>
        <w:rPr>
          <w:rFonts w:hint="default"/>
          <w:b w:val="0"/>
          <w:bCs w:val="0"/>
          <w:highlight w:val="green"/>
          <w:lang w:val="de-DE"/>
        </w:rPr>
        <w:t>Applicability:  The Anti-Money Laundering and Counter-Terrorism Financing Act 2006 requires certain businesses and professions, such as financial institutions, casinos, and lawyers, to establish and maintain systems to identify and verify the identity of their customers, report suspicious transactions, and keep records of financial transactions.</w:t>
      </w:r>
    </w:p>
    <w:p>
      <w:pPr>
        <w:rPr>
          <w:rFonts w:hint="default"/>
          <w:b w:val="0"/>
          <w:bCs w:val="0"/>
          <w:lang w:val="de-DE"/>
        </w:rPr>
      </w:pPr>
    </w:p>
    <w:p>
      <w:pPr>
        <w:numPr>
          <w:ilvl w:val="0"/>
          <w:numId w:val="5"/>
        </w:numPr>
        <w:ind w:left="0" w:leftChars="0" w:firstLine="0" w:firstLineChars="0"/>
        <w:rPr>
          <w:rFonts w:hint="default"/>
          <w:b w:val="0"/>
          <w:bCs w:val="0"/>
          <w:lang w:val="de-DE"/>
        </w:rPr>
      </w:pPr>
      <w:r>
        <w:rPr>
          <w:rFonts w:hint="default"/>
          <w:b w:val="0"/>
          <w:bCs w:val="0"/>
          <w:lang w:val="de-DE"/>
        </w:rPr>
        <w:t>Regulatory text:“The AUSTRAC CEO must issue an identity card to an authorised officer.“</w:t>
      </w:r>
    </w:p>
    <w:p>
      <w:pPr>
        <w:numPr>
          <w:ilvl w:val="0"/>
          <w:numId w:val="0"/>
        </w:numPr>
        <w:ind w:leftChars="0"/>
        <w:rPr>
          <w:rFonts w:hint="default"/>
          <w:b w:val="0"/>
          <w:bCs w:val="0"/>
          <w:lang w:val="de-DE"/>
        </w:rPr>
      </w:pPr>
      <w:r>
        <w:rPr>
          <w:rFonts w:hint="default"/>
          <w:b w:val="0"/>
          <w:bCs w:val="0"/>
          <w:highlight w:val="green"/>
          <w:lang w:val="de-DE"/>
        </w:rPr>
        <w:t>Document Section: Audit</w:t>
      </w:r>
    </w:p>
    <w:p>
      <w:pPr>
        <w:rPr>
          <w:rFonts w:hint="default"/>
          <w:b w:val="0"/>
          <w:bCs w:val="0"/>
          <w:highlight w:val="green"/>
          <w:lang w:val="de-DE"/>
        </w:rPr>
      </w:pPr>
      <w:r>
        <w:rPr>
          <w:rFonts w:hint="default"/>
          <w:b w:val="0"/>
          <w:bCs w:val="0"/>
          <w:highlight w:val="green"/>
          <w:lang w:val="de-DE"/>
        </w:rPr>
        <w:t>From the regulatory document: Anti-Money Laundering and Counter-Terrorism Financing Act 2006</w:t>
      </w:r>
    </w:p>
    <w:p>
      <w:pPr>
        <w:rPr>
          <w:rFonts w:hint="default"/>
          <w:b w:val="0"/>
          <w:bCs w:val="0"/>
          <w:highlight w:val="green"/>
          <w:lang w:val="de-DE"/>
        </w:rPr>
      </w:pPr>
      <w:r>
        <w:rPr>
          <w:rFonts w:hint="default"/>
          <w:b w:val="0"/>
          <w:bCs w:val="0"/>
          <w:highlight w:val="green"/>
          <w:lang w:val="de-DE"/>
        </w:rPr>
        <w:t xml:space="preserve">About: The Anti-Money Laundering and Counter-Terrorism Financing Act 2006 (AML/CTF Act) is a law aimed at preventing money laundering and the financing of terrorism in Australia. </w:t>
      </w:r>
    </w:p>
    <w:p>
      <w:pPr>
        <w:rPr>
          <w:rFonts w:hint="default"/>
          <w:b w:val="0"/>
          <w:bCs w:val="0"/>
          <w:highlight w:val="green"/>
          <w:lang w:val="de-DE"/>
        </w:rPr>
      </w:pPr>
      <w:r>
        <w:rPr>
          <w:rFonts w:hint="default"/>
          <w:b w:val="0"/>
          <w:bCs w:val="0"/>
          <w:highlight w:val="green"/>
          <w:lang w:val="de-DE"/>
        </w:rPr>
        <w:t>Applicability:  The Anti-Money Laundering and Counter-Terrorism Financing Act 2006 requires certain businesses and professions, such as financial institutions, casinos, and lawyers, to establish and maintain systems to identify and verify the identity of their customers, report suspicious transactions, and keep records of financial transactions.</w:t>
      </w:r>
    </w:p>
    <w:p>
      <w:pPr>
        <w:rPr>
          <w:rFonts w:hint="default"/>
          <w:b w:val="0"/>
          <w:bCs w:val="0"/>
          <w:highlight w:val="green"/>
          <w:lang w:val="de-DE"/>
        </w:rPr>
      </w:pPr>
    </w:p>
    <w:p>
      <w:pPr>
        <w:numPr>
          <w:ilvl w:val="0"/>
          <w:numId w:val="0"/>
        </w:numPr>
        <w:ind w:leftChars="0"/>
        <w:rPr>
          <w:rFonts w:hint="default"/>
          <w:b/>
          <w:bCs/>
          <w:lang w:val="de-DE"/>
        </w:rPr>
      </w:pPr>
      <w:r>
        <w:rPr>
          <w:rFonts w:hint="default"/>
          <w:b w:val="0"/>
          <w:bCs w:val="0"/>
          <w:lang w:val="de-DE"/>
        </w:rPr>
        <w:t>7.Regulatory text:“The Commission is not to regard an enactment or proposed enactment as being inconsistent with or contrary to the objects of this Act for the purposes of paragraph (1)(i) because of a provision of the enactment or proposed enactment that is included for the purpose referred to in subsection 45(1) (special measures).“</w:t>
      </w:r>
    </w:p>
    <w:p>
      <w:pPr>
        <w:numPr>
          <w:ilvl w:val="0"/>
          <w:numId w:val="0"/>
        </w:numPr>
        <w:ind w:leftChars="0"/>
        <w:rPr>
          <w:rFonts w:hint="default"/>
          <w:b w:val="0"/>
          <w:bCs w:val="0"/>
          <w:highlight w:val="green"/>
          <w:lang w:val="de-DE"/>
        </w:rPr>
      </w:pPr>
      <w:r>
        <w:rPr>
          <w:rFonts w:hint="default"/>
          <w:b w:val="0"/>
          <w:bCs w:val="0"/>
          <w:highlight w:val="green"/>
          <w:lang w:val="de-DE"/>
        </w:rPr>
        <w:t>Document Section: Functions of the Australian Human Rights Commission</w:t>
      </w:r>
    </w:p>
    <w:p>
      <w:pPr>
        <w:rPr>
          <w:rFonts w:hint="default"/>
          <w:b w:val="0"/>
          <w:bCs w:val="0"/>
          <w:highlight w:val="green"/>
          <w:lang w:val="de-DE"/>
        </w:rPr>
      </w:pPr>
      <w:r>
        <w:rPr>
          <w:rFonts w:hint="default"/>
          <w:b w:val="0"/>
          <w:bCs w:val="0"/>
          <w:highlight w:val="green"/>
          <w:lang w:val="de-DE"/>
        </w:rPr>
        <w:t>From the regulatory document: Disability Discrimination Act 1992</w:t>
      </w:r>
    </w:p>
    <w:p>
      <w:pPr>
        <w:rPr>
          <w:rFonts w:hint="default"/>
          <w:b w:val="0"/>
          <w:bCs w:val="0"/>
          <w:highlight w:val="green"/>
          <w:lang w:val="de-DE"/>
        </w:rPr>
      </w:pPr>
      <w:r>
        <w:rPr>
          <w:rFonts w:hint="default"/>
          <w:b w:val="0"/>
          <w:bCs w:val="0"/>
          <w:highlight w:val="green"/>
          <w:lang w:val="de-DE"/>
        </w:rPr>
        <w:t>About: The Disability Discrimination Act 1992 is an Australian law that prohibits discrimination against people with disabilities in various areas of public life, including employment, education, and access to services and facilities. It aims to promote equal rights, opportunities, and access for people with disabilities and to eliminate discrimination on the basis of disability.</w:t>
      </w:r>
    </w:p>
    <w:p>
      <w:pPr>
        <w:rPr>
          <w:rFonts w:hint="default"/>
          <w:b w:val="0"/>
          <w:bCs w:val="0"/>
          <w:highlight w:val="green"/>
          <w:lang w:val="de-DE"/>
        </w:rPr>
      </w:pPr>
      <w:r>
        <w:rPr>
          <w:rFonts w:hint="default"/>
          <w:b w:val="0"/>
          <w:bCs w:val="0"/>
          <w:highlight w:val="green"/>
          <w:lang w:val="de-DE"/>
        </w:rPr>
        <w:t>Applicability: The Disability Discrimination Act 1992 requires all individuals and organizations, including businesses, governments, and non-profit organizations, to comply with the law and ensure that people with disabilities are not discriminated against in various areas of public life.</w:t>
      </w:r>
    </w:p>
    <w:p>
      <w:pPr>
        <w:rPr>
          <w:rFonts w:hint="default"/>
          <w:b w:val="0"/>
          <w:bCs w:val="0"/>
          <w:lang w:val="de-DE"/>
        </w:rPr>
      </w:pPr>
    </w:p>
    <w:p>
      <w:pPr>
        <w:numPr>
          <w:numId w:val="0"/>
        </w:numPr>
        <w:ind w:leftChars="0"/>
        <w:rPr>
          <w:rFonts w:hint="default"/>
          <w:b w:val="0"/>
          <w:bCs w:val="0"/>
          <w:lang w:val="de-DE"/>
        </w:rPr>
      </w:pPr>
      <w:r>
        <w:rPr>
          <w:rFonts w:hint="default"/>
          <w:b w:val="0"/>
          <w:bCs w:val="0"/>
          <w:lang w:val="de-DE"/>
        </w:rPr>
        <w:t>8.Regulatory text:“There is to be a Disability Discrimination Commissioner, who is to be appointed by the Governor‑General.“</w:t>
      </w:r>
    </w:p>
    <w:p>
      <w:pPr>
        <w:numPr>
          <w:ilvl w:val="0"/>
          <w:numId w:val="0"/>
        </w:numPr>
        <w:ind w:leftChars="0"/>
        <w:rPr>
          <w:rFonts w:hint="default"/>
          <w:b w:val="0"/>
          <w:bCs w:val="0"/>
          <w:lang w:val="de-DE"/>
        </w:rPr>
      </w:pPr>
      <w:r>
        <w:rPr>
          <w:rFonts w:hint="default"/>
          <w:b w:val="0"/>
          <w:bCs w:val="0"/>
          <w:highlight w:val="green"/>
          <w:lang w:val="de-DE"/>
        </w:rPr>
        <w:t>Document Section: Disability Discrimination Commissioner</w:t>
      </w:r>
    </w:p>
    <w:p>
      <w:pPr>
        <w:rPr>
          <w:rFonts w:hint="default"/>
          <w:b w:val="0"/>
          <w:bCs w:val="0"/>
          <w:highlight w:val="green"/>
          <w:lang w:val="de-DE"/>
        </w:rPr>
      </w:pPr>
      <w:r>
        <w:rPr>
          <w:rFonts w:hint="default"/>
          <w:b w:val="0"/>
          <w:bCs w:val="0"/>
          <w:highlight w:val="green"/>
          <w:lang w:val="de-DE"/>
        </w:rPr>
        <w:t>From the regulatory document: Disability Discrimination Act 1992</w:t>
      </w:r>
    </w:p>
    <w:p>
      <w:pPr>
        <w:rPr>
          <w:rFonts w:hint="default"/>
          <w:b w:val="0"/>
          <w:bCs w:val="0"/>
          <w:highlight w:val="green"/>
          <w:lang w:val="de-DE"/>
        </w:rPr>
      </w:pPr>
      <w:r>
        <w:rPr>
          <w:rFonts w:hint="default"/>
          <w:b w:val="0"/>
          <w:bCs w:val="0"/>
          <w:highlight w:val="green"/>
          <w:lang w:val="de-DE"/>
        </w:rPr>
        <w:t>About: The Disability Discrimination Act 1992 is an Australian law that prohibits discrimination against people with disabilities in various areas of public life, including employment, education, and access to services and facilities. It aims to promote equal rights, opportunities, and access for people with disabilities and to eliminate discrimination on the basis of disability.</w:t>
      </w:r>
    </w:p>
    <w:p>
      <w:pPr>
        <w:rPr>
          <w:rFonts w:hint="default"/>
          <w:b w:val="0"/>
          <w:bCs w:val="0"/>
          <w:highlight w:val="green"/>
          <w:lang w:val="de-DE"/>
        </w:rPr>
      </w:pPr>
      <w:r>
        <w:rPr>
          <w:rFonts w:hint="default"/>
          <w:b w:val="0"/>
          <w:bCs w:val="0"/>
          <w:highlight w:val="green"/>
          <w:lang w:val="de-DE"/>
        </w:rPr>
        <w:t>Applicability: The Disability Discrimination Act 1992 requires all individuals and organizations, including businesses, governments, and non-profit organizations, to comply with the law and ensure that people with disabilities are not discriminated against in various areas of public life.</w:t>
      </w:r>
    </w:p>
    <w:p>
      <w:pPr>
        <w:rPr>
          <w:rFonts w:hint="default"/>
          <w:b w:val="0"/>
          <w:bCs w:val="0"/>
          <w:highlight w:val="green"/>
          <w:lang w:val="de-DE"/>
        </w:rPr>
      </w:pPr>
    </w:p>
    <w:p>
      <w:pPr>
        <w:numPr>
          <w:numId w:val="0"/>
        </w:numPr>
        <w:ind w:leftChars="0"/>
        <w:rPr>
          <w:rFonts w:hint="default"/>
          <w:b w:val="0"/>
          <w:bCs w:val="0"/>
          <w:lang w:val="de-DE"/>
        </w:rPr>
      </w:pPr>
      <w:r>
        <w:rPr>
          <w:rFonts w:hint="default"/>
          <w:b w:val="0"/>
          <w:bCs w:val="0"/>
          <w:lang w:val="de-DE"/>
        </w:rPr>
        <w:t>9.Regulatory text:“Where a claim has been notified to an insurance company and the company’s liability in respect of that claim is payable in a currency other than one which would result from the application of the above provisions, the liability shall be regarded as a liability in the currency in which the company is actually obliged to pay it.“</w:t>
      </w:r>
    </w:p>
    <w:p>
      <w:pPr>
        <w:numPr>
          <w:ilvl w:val="0"/>
          <w:numId w:val="0"/>
        </w:numPr>
        <w:ind w:leftChars="0"/>
        <w:rPr>
          <w:rFonts w:hint="default"/>
          <w:b w:val="0"/>
          <w:bCs w:val="0"/>
          <w:lang w:val="de-DE"/>
        </w:rPr>
      </w:pPr>
      <w:r>
        <w:rPr>
          <w:rFonts w:hint="default"/>
          <w:b w:val="0"/>
          <w:bCs w:val="0"/>
          <w:highlight w:val="green"/>
          <w:lang w:val="de-DE"/>
        </w:rPr>
        <w:t>Document Section: Currency matching, localisation</w:t>
      </w:r>
    </w:p>
    <w:p>
      <w:pPr>
        <w:rPr>
          <w:rFonts w:hint="default"/>
          <w:b w:val="0"/>
          <w:bCs w:val="0"/>
          <w:highlight w:val="green"/>
          <w:lang w:val="de-DE"/>
        </w:rPr>
      </w:pPr>
      <w:r>
        <w:rPr>
          <w:rFonts w:hint="default"/>
          <w:b w:val="0"/>
          <w:bCs w:val="0"/>
          <w:highlight w:val="green"/>
          <w:lang w:val="de-DE"/>
        </w:rPr>
        <w:t xml:space="preserve">From the regulatory document: The Insurance Companies Regulations 1994 </w:t>
      </w:r>
    </w:p>
    <w:p>
      <w:pPr>
        <w:rPr>
          <w:rFonts w:hint="default"/>
          <w:b w:val="0"/>
          <w:bCs w:val="0"/>
          <w:highlight w:val="green"/>
          <w:lang w:val="de-DE"/>
        </w:rPr>
      </w:pPr>
      <w:r>
        <w:rPr>
          <w:rFonts w:hint="default"/>
          <w:b w:val="0"/>
          <w:bCs w:val="0"/>
          <w:highlight w:val="green"/>
          <w:lang w:val="de-DE"/>
        </w:rPr>
        <w:t xml:space="preserve">About: The UK law Insurance Companies Regulations 1994 sets out rules and requirements for insurance companies, including minimum levels of capital and solvency margins, and provisions for the protection of policyholders. It also establishes a regulatory framework for the approval and supervision of insurance companies by the Financial Conduct Authority (FCA). </w:t>
      </w:r>
    </w:p>
    <w:p>
      <w:pPr>
        <w:rPr>
          <w:rFonts w:hint="default"/>
          <w:b w:val="0"/>
          <w:bCs w:val="0"/>
          <w:lang w:val="de-DE"/>
        </w:rPr>
      </w:pPr>
      <w:r>
        <w:rPr>
          <w:rFonts w:hint="default"/>
          <w:b w:val="0"/>
          <w:bCs w:val="0"/>
          <w:highlight w:val="green"/>
          <w:lang w:val="de-DE"/>
        </w:rPr>
        <w:t>Applicability: All insurance companies operating in the UK, including those based overseas, must comply with the UK law Insurance Companies Regulations 1994. This includes both life and non-life insurance companies, as well as reinsurers and insurance intermediaries.</w:t>
      </w:r>
    </w:p>
    <w:p>
      <w:pPr>
        <w:rPr>
          <w:rFonts w:hint="default"/>
          <w:b w:val="0"/>
          <w:bCs w:val="0"/>
          <w:lang w:val="de-DE"/>
        </w:rPr>
      </w:pPr>
    </w:p>
    <w:p>
      <w:pPr>
        <w:numPr>
          <w:ilvl w:val="0"/>
          <w:numId w:val="6"/>
        </w:numPr>
        <w:ind w:leftChars="0"/>
        <w:rPr>
          <w:rFonts w:hint="default"/>
          <w:b w:val="0"/>
          <w:bCs w:val="0"/>
          <w:lang w:val="de-DE"/>
        </w:rPr>
      </w:pPr>
      <w:r>
        <w:rPr>
          <w:rFonts w:hint="default"/>
          <w:b w:val="0"/>
          <w:bCs w:val="0"/>
          <w:lang w:val="de-DE"/>
        </w:rPr>
        <w:t>Regulatory text:“The value of any interest in land which is determinable upon the death of any person or upon the happening of some other future event or at some future time shall be the amount which would reasonably be paid by way of consideration for an immediate transfer thereof.“</w:t>
      </w:r>
    </w:p>
    <w:p>
      <w:pPr>
        <w:numPr>
          <w:ilvl w:val="0"/>
          <w:numId w:val="0"/>
        </w:numPr>
        <w:ind w:leftChars="0"/>
        <w:rPr>
          <w:rFonts w:hint="default"/>
          <w:b w:val="0"/>
          <w:bCs w:val="0"/>
          <w:lang w:val="de-DE"/>
        </w:rPr>
      </w:pPr>
      <w:r>
        <w:rPr>
          <w:rFonts w:hint="default"/>
          <w:b w:val="0"/>
          <w:bCs w:val="0"/>
          <w:highlight w:val="green"/>
          <w:lang w:val="de-DE"/>
        </w:rPr>
        <w:t>Document Section: Valuation of assets</w:t>
      </w:r>
    </w:p>
    <w:p>
      <w:pPr>
        <w:rPr>
          <w:rFonts w:hint="default"/>
          <w:b w:val="0"/>
          <w:bCs w:val="0"/>
          <w:highlight w:val="green"/>
          <w:lang w:val="de-DE"/>
        </w:rPr>
      </w:pPr>
      <w:r>
        <w:rPr>
          <w:rFonts w:hint="default"/>
          <w:b w:val="0"/>
          <w:bCs w:val="0"/>
          <w:highlight w:val="green"/>
          <w:lang w:val="de-DE"/>
        </w:rPr>
        <w:t xml:space="preserve">From the regulatory document: The Insurance Companies Regulations 1994 </w:t>
      </w:r>
    </w:p>
    <w:p>
      <w:pPr>
        <w:rPr>
          <w:rFonts w:hint="default"/>
          <w:b w:val="0"/>
          <w:bCs w:val="0"/>
          <w:highlight w:val="green"/>
          <w:lang w:val="de-DE"/>
        </w:rPr>
      </w:pPr>
      <w:r>
        <w:rPr>
          <w:rFonts w:hint="default"/>
          <w:b w:val="0"/>
          <w:bCs w:val="0"/>
          <w:highlight w:val="green"/>
          <w:lang w:val="de-DE"/>
        </w:rPr>
        <w:t xml:space="preserve">About: The UK law Insurance Companies Regulations 1994 sets out rules and requirements for insurance companies, including minimum levels of capital and solvency margins, and provisions for the protection of policyholders. It also establishes a regulatory framework for the approval and supervision of insurance companies by the Financial Conduct Authority (FCA). </w:t>
      </w:r>
    </w:p>
    <w:p>
      <w:pPr>
        <w:rPr>
          <w:rFonts w:hint="default"/>
          <w:b w:val="0"/>
          <w:bCs w:val="0"/>
          <w:lang w:val="de-DE"/>
        </w:rPr>
      </w:pPr>
      <w:r>
        <w:rPr>
          <w:rFonts w:hint="default"/>
          <w:b w:val="0"/>
          <w:bCs w:val="0"/>
          <w:highlight w:val="green"/>
          <w:lang w:val="de-DE"/>
        </w:rPr>
        <w:t>Applicability: All insurance companies operating in the UK, including those based overseas, must comply with the UK law Insurance Companies Regulations 1994. This includes both life and non-life insurance companies, as well as reinsurers and insurance intermediaries.</w:t>
      </w:r>
    </w:p>
    <w:p>
      <w:pPr>
        <w:rPr>
          <w:rFonts w:hint="default"/>
          <w:b w:val="0"/>
          <w:bCs w:val="0"/>
          <w:lang w:val="de-DE"/>
        </w:rPr>
      </w:pPr>
    </w:p>
    <w:p>
      <w:pPr>
        <w:numPr>
          <w:ilvl w:val="0"/>
          <w:numId w:val="6"/>
        </w:numPr>
        <w:ind w:left="0" w:leftChars="0" w:firstLine="0" w:firstLineChars="0"/>
        <w:rPr>
          <w:rFonts w:hint="default"/>
          <w:b w:val="0"/>
          <w:bCs w:val="0"/>
          <w:lang w:val="de-DE"/>
        </w:rPr>
      </w:pPr>
      <w:r>
        <w:rPr>
          <w:rFonts w:hint="default"/>
          <w:b w:val="0"/>
          <w:bCs w:val="0"/>
          <w:lang w:val="de-DE"/>
        </w:rPr>
        <w:t>Regulatory text:“However, an employer may request an employee to work on a public holiday if the request is reasonable.“</w:t>
      </w:r>
    </w:p>
    <w:p>
      <w:pPr>
        <w:numPr>
          <w:ilvl w:val="0"/>
          <w:numId w:val="0"/>
        </w:numPr>
        <w:ind w:leftChars="0"/>
        <w:rPr>
          <w:rFonts w:hint="default"/>
          <w:b w:val="0"/>
          <w:bCs w:val="0"/>
          <w:lang w:val="de-DE"/>
        </w:rPr>
      </w:pPr>
      <w:r>
        <w:rPr>
          <w:rFonts w:hint="default"/>
          <w:b w:val="0"/>
          <w:bCs w:val="0"/>
          <w:highlight w:val="green"/>
          <w:lang w:val="de-DE"/>
        </w:rPr>
        <w:t>Document Section: Terms and conditions of employment</w:t>
      </w:r>
    </w:p>
    <w:p>
      <w:pPr>
        <w:rPr>
          <w:rFonts w:hint="default"/>
          <w:b w:val="0"/>
          <w:bCs w:val="0"/>
          <w:highlight w:val="green"/>
          <w:lang w:val="de-DE"/>
        </w:rPr>
      </w:pPr>
      <w:r>
        <w:rPr>
          <w:rFonts w:hint="default"/>
          <w:b w:val="0"/>
          <w:bCs w:val="0"/>
          <w:highlight w:val="green"/>
          <w:lang w:val="de-DE"/>
        </w:rPr>
        <w:t>From the regulatory document: Fair Work Act 2009</w:t>
      </w:r>
    </w:p>
    <w:p>
      <w:pPr>
        <w:rPr>
          <w:rFonts w:hint="default"/>
          <w:b w:val="0"/>
          <w:bCs w:val="0"/>
          <w:highlight w:val="green"/>
          <w:lang w:val="de-DE"/>
        </w:rPr>
      </w:pPr>
      <w:r>
        <w:rPr>
          <w:rFonts w:hint="default"/>
          <w:b w:val="0"/>
          <w:bCs w:val="0"/>
          <w:highlight w:val="green"/>
          <w:lang w:val="de-DE"/>
        </w:rPr>
        <w:t>About: The Fair Work Act 2009 is an Australian law that sets out the minimum employment conditions for most employees in Australia, including minimum wages, working hours, leave entitlements, and termination rights. It also establishes the framework for industrial relations, including the rights and obligations of employers and employees, and the role of unions and employer associations.</w:t>
      </w:r>
    </w:p>
    <w:p>
      <w:pPr>
        <w:rPr>
          <w:rFonts w:hint="default"/>
          <w:b w:val="0"/>
          <w:bCs w:val="0"/>
          <w:highlight w:val="green"/>
          <w:lang w:val="de-DE"/>
        </w:rPr>
      </w:pPr>
      <w:r>
        <w:rPr>
          <w:rFonts w:hint="default"/>
          <w:b w:val="0"/>
          <w:bCs w:val="0"/>
          <w:highlight w:val="green"/>
          <w:lang w:val="de-DE"/>
        </w:rPr>
        <w:t>Applicability: The Fair Work Act 2009 applies to most employers and employees in Australia, including full-time, part-time, and casual workers.</w:t>
      </w:r>
    </w:p>
    <w:p>
      <w:pPr>
        <w:rPr>
          <w:rFonts w:hint="default"/>
          <w:b w:val="0"/>
          <w:bCs w:val="0"/>
          <w:lang w:val="de-DE"/>
        </w:rPr>
      </w:pPr>
    </w:p>
    <w:p>
      <w:pPr>
        <w:numPr>
          <w:ilvl w:val="0"/>
          <w:numId w:val="6"/>
        </w:numPr>
        <w:ind w:left="0" w:leftChars="0" w:firstLine="0" w:firstLineChars="0"/>
        <w:rPr>
          <w:rFonts w:hint="default"/>
          <w:b w:val="0"/>
          <w:bCs w:val="0"/>
          <w:lang w:val="de-DE"/>
        </w:rPr>
      </w:pPr>
      <w:r>
        <w:rPr>
          <w:rFonts w:hint="default"/>
          <w:b w:val="0"/>
          <w:bCs w:val="0"/>
          <w:lang w:val="de-DE"/>
        </w:rPr>
        <w:t>Regulatory text:„If the period during which an employee takes paid annual leave includes a day or part‑day that is a public holiday in the place where the employee is based for work purposes, the employee is taken not to be on paid annual leave on that public holiday.“</w:t>
      </w:r>
    </w:p>
    <w:p>
      <w:pPr>
        <w:numPr>
          <w:ilvl w:val="0"/>
          <w:numId w:val="0"/>
        </w:numPr>
        <w:ind w:leftChars="0"/>
        <w:rPr>
          <w:rFonts w:hint="default"/>
          <w:b w:val="0"/>
          <w:bCs w:val="0"/>
          <w:lang w:val="de-DE"/>
        </w:rPr>
      </w:pPr>
      <w:r>
        <w:rPr>
          <w:rFonts w:hint="default"/>
          <w:b w:val="0"/>
          <w:bCs w:val="0"/>
          <w:highlight w:val="green"/>
          <w:lang w:val="de-DE"/>
        </w:rPr>
        <w:t>Document Section: Terms and conditions of employment</w:t>
      </w:r>
      <w:bookmarkStart w:id="0" w:name="_GoBack"/>
      <w:bookmarkEnd w:id="0"/>
    </w:p>
    <w:p>
      <w:pPr>
        <w:rPr>
          <w:rFonts w:hint="default"/>
          <w:b w:val="0"/>
          <w:bCs w:val="0"/>
          <w:highlight w:val="green"/>
          <w:lang w:val="de-DE"/>
        </w:rPr>
      </w:pPr>
      <w:r>
        <w:rPr>
          <w:rFonts w:hint="default"/>
          <w:b w:val="0"/>
          <w:bCs w:val="0"/>
          <w:highlight w:val="green"/>
          <w:lang w:val="de-DE"/>
        </w:rPr>
        <w:t>From the regulatory document: Fair Work Act 2009</w:t>
      </w:r>
    </w:p>
    <w:p>
      <w:pPr>
        <w:rPr>
          <w:rFonts w:hint="default"/>
          <w:b w:val="0"/>
          <w:bCs w:val="0"/>
          <w:highlight w:val="green"/>
          <w:lang w:val="de-DE"/>
        </w:rPr>
      </w:pPr>
      <w:r>
        <w:rPr>
          <w:rFonts w:hint="default"/>
          <w:b w:val="0"/>
          <w:bCs w:val="0"/>
          <w:highlight w:val="green"/>
          <w:lang w:val="de-DE"/>
        </w:rPr>
        <w:t>About: The Fair Work Act 2009 is an Australian law that sets out the minimum employment conditions for most employees in Australia, including minimum wages, working hours, leave entitlements, and termination rights. It also establishes the framework for industrial relations, including the rights and obligations of employers and employees, and the role of unions and employer associations.</w:t>
      </w:r>
    </w:p>
    <w:p>
      <w:pPr>
        <w:rPr>
          <w:rFonts w:hint="default"/>
          <w:b w:val="0"/>
          <w:bCs w:val="0"/>
          <w:highlight w:val="green"/>
          <w:lang w:val="de-DE"/>
        </w:rPr>
      </w:pPr>
      <w:r>
        <w:rPr>
          <w:rFonts w:hint="default"/>
          <w:b w:val="0"/>
          <w:bCs w:val="0"/>
          <w:highlight w:val="green"/>
          <w:lang w:val="de-DE"/>
        </w:rPr>
        <w:t>Applicability: The Fair Work Act 2009 applies to most employers and employees in Australia, including full-time, part-time, and casual workers.</w:t>
      </w:r>
    </w:p>
    <w:p>
      <w:pPr>
        <w:rPr>
          <w:rFonts w:hint="default"/>
          <w:b w:val="0"/>
          <w:bCs w:val="0"/>
          <w:lang w:val="de-D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byssinica SIL"/>
    <w:panose1 w:val="05000000000000000000"/>
    <w:charset w:val="00"/>
    <w:family w:val="auto"/>
    <w:pitch w:val="default"/>
    <w:sig w:usb0="00000000" w:usb1="10000000" w:usb2="00000000" w:usb3="00000000" w:csb0="80000000" w:csb1="00000000"/>
  </w:font>
  <w:font w:name="Abyssinica SIL">
    <w:panose1 w:val="02000603020000020004"/>
    <w:charset w:val="00"/>
    <w:family w:val="auto"/>
    <w:pitch w:val="default"/>
    <w:sig w:usb0="800000EF" w:usb1="5000A04B" w:usb2="00000828" w:usb3="00000000" w:csb0="2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2ECCB0"/>
    <w:multiLevelType w:val="singleLevel"/>
    <w:tmpl w:val="BB2ECCB0"/>
    <w:lvl w:ilvl="0" w:tentative="0">
      <w:start w:val="1"/>
      <w:numFmt w:val="upperLetter"/>
      <w:suff w:val="space"/>
      <w:lvlText w:val="%1)"/>
      <w:lvlJc w:val="left"/>
    </w:lvl>
  </w:abstractNum>
  <w:abstractNum w:abstractNumId="1">
    <w:nsid w:val="DEDEED1A"/>
    <w:multiLevelType w:val="singleLevel"/>
    <w:tmpl w:val="DEDEED1A"/>
    <w:lvl w:ilvl="0" w:tentative="0">
      <w:start w:val="10"/>
      <w:numFmt w:val="decimal"/>
      <w:lvlText w:val="%1."/>
      <w:lvlJc w:val="left"/>
      <w:pPr>
        <w:tabs>
          <w:tab w:val="left" w:pos="312"/>
        </w:tabs>
      </w:pPr>
    </w:lvl>
  </w:abstractNum>
  <w:abstractNum w:abstractNumId="2">
    <w:nsid w:val="DEFD0831"/>
    <w:multiLevelType w:val="multilevel"/>
    <w:tmpl w:val="DEFD0831"/>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EE7E96A9"/>
    <w:multiLevelType w:val="singleLevel"/>
    <w:tmpl w:val="EE7E96A9"/>
    <w:lvl w:ilvl="0" w:tentative="0">
      <w:start w:val="1"/>
      <w:numFmt w:val="upperRoman"/>
      <w:lvlText w:val="%1."/>
      <w:lvlJc w:val="left"/>
      <w:pPr>
        <w:tabs>
          <w:tab w:val="left" w:pos="425"/>
        </w:tabs>
        <w:ind w:left="425" w:leftChars="0" w:hanging="425" w:firstLineChars="0"/>
      </w:pPr>
      <w:rPr>
        <w:rFonts w:hint="default"/>
      </w:rPr>
    </w:lvl>
  </w:abstractNum>
  <w:abstractNum w:abstractNumId="4">
    <w:nsid w:val="FBF7ACBC"/>
    <w:multiLevelType w:val="multilevel"/>
    <w:tmpl w:val="FBF7AC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2F3E400F"/>
    <w:multiLevelType w:val="singleLevel"/>
    <w:tmpl w:val="2F3E400F"/>
    <w:lvl w:ilvl="0" w:tentative="0">
      <w:start w:val="1"/>
      <w:numFmt w:val="decimal"/>
      <w:lvlText w:val="%1."/>
      <w:lvlJc w:val="left"/>
      <w:pPr>
        <w:tabs>
          <w:tab w:val="left" w:pos="312"/>
        </w:tabs>
      </w:pPr>
    </w:lvl>
  </w:abstractNum>
  <w:num w:numId="1">
    <w:abstractNumId w:val="3"/>
  </w:num>
  <w:num w:numId="2">
    <w:abstractNumId w:val="0"/>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5142F"/>
    <w:rsid w:val="3FEEABE1"/>
    <w:rsid w:val="64CEC3D9"/>
    <w:rsid w:val="7E9B1006"/>
    <w:rsid w:val="7EBD3A45"/>
    <w:rsid w:val="7FF5142F"/>
    <w:rsid w:val="9A5A701C"/>
    <w:rsid w:val="A1DF3200"/>
    <w:rsid w:val="D0FBF3B1"/>
    <w:rsid w:val="DFBB0419"/>
    <w:rsid w:val="DFFEDF06"/>
    <w:rsid w:val="E3FB9009"/>
    <w:rsid w:val="EE9EBCCB"/>
    <w:rsid w:val="EF63CB4D"/>
    <w:rsid w:val="F77FF1D9"/>
    <w:rsid w:val="F7FDF62F"/>
    <w:rsid w:val="F86F0A3A"/>
    <w:rsid w:val="FF783C61"/>
    <w:rsid w:val="FFABB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2023-05-19T17:50:00Z</dcterms:created>
  <dc:creator>catherinesai</dc:creator>
  <cp:lastModifiedBy>catherinesai</cp:lastModifiedBy>
  <dcterms:modified xsi:type="dcterms:W3CDTF">2023-05-25T08:24:40Z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