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b w:val="0"/>
          <w:bCs w:val="0"/>
          <w:highlight w:val="none"/>
          <w:lang w:val="de-DE"/>
        </w:rPr>
      </w:pPr>
      <w:r>
        <w:rPr>
          <w:rFonts w:hint="default"/>
          <w:b w:val="0"/>
          <w:bCs w:val="0"/>
          <w:highlight w:val="none"/>
          <w:lang w:val="de-DE"/>
        </w:rPr>
        <w:t>Regulatory text:““</w:t>
      </w:r>
    </w:p>
    <w:p>
      <w:pPr>
        <w:numPr>
          <w:ilvl w:val="0"/>
          <w:numId w:val="0"/>
        </w:numPr>
        <w:rPr>
          <w:rFonts w:hint="default"/>
          <w:b w:val="0"/>
          <w:bCs w:val="0"/>
          <w:highlight w:val="none"/>
          <w:lang w:val="de-DE"/>
        </w:rPr>
      </w:pPr>
      <w:r>
        <w:rPr>
          <w:rFonts w:hint="default"/>
          <w:b w:val="0"/>
          <w:bCs w:val="0"/>
          <w:highlight w:val="none"/>
          <w:lang w:val="de-DE"/>
        </w:rPr>
        <w:t xml:space="preserve">Document Section: </w:t>
      </w:r>
    </w:p>
    <w:p>
      <w:pPr>
        <w:rPr>
          <w:rFonts w:hint="default"/>
          <w:b w:val="0"/>
          <w:bCs w:val="0"/>
          <w:highlight w:val="none"/>
          <w:lang w:val="de-DE"/>
        </w:rPr>
      </w:pPr>
      <w:r>
        <w:rPr>
          <w:rFonts w:hint="default"/>
          <w:b w:val="0"/>
          <w:bCs w:val="0"/>
          <w:highlight w:val="none"/>
          <w:lang w:val="de-DE"/>
        </w:rPr>
        <w:t>From the regulatory document: General Insurance Code of Practice</w:t>
      </w:r>
    </w:p>
    <w:p>
      <w:pPr>
        <w:rPr>
          <w:rFonts w:hint="default"/>
          <w:b w:val="0"/>
          <w:bCs w:val="0"/>
          <w:highlight w:val="none"/>
          <w:lang w:val="de-DE"/>
        </w:rPr>
      </w:pPr>
      <w:r>
        <w:rPr>
          <w:rFonts w:hint="default"/>
          <w:b w:val="0"/>
          <w:bCs w:val="0"/>
          <w:highlight w:val="none"/>
          <w:lang w:val="de-DE"/>
        </w:rPr>
        <w:t>About: The "</w:t>
      </w:r>
      <w:r>
        <w:rPr>
          <w:rFonts w:hint="default"/>
          <w:b/>
          <w:bCs/>
          <w:highlight w:val="none"/>
          <w:lang w:val="de-DE"/>
        </w:rPr>
        <w:t>General Insurance Code of Practice</w:t>
      </w:r>
      <w:r>
        <w:rPr>
          <w:rFonts w:hint="default"/>
          <w:b w:val="0"/>
          <w:bCs w:val="0"/>
          <w:highlight w:val="none"/>
          <w:lang w:val="de-DE"/>
        </w:rPr>
        <w:t>" is a set of voluntary guidelines developed by the Insurance Council of Australia (ICA) to improve insurers' service to consumers. It covers standards for the sale, communication, and handling of insurance products and includes dispute resolution procedures.</w:t>
      </w:r>
    </w:p>
    <w:p>
      <w:pPr>
        <w:rPr>
          <w:rFonts w:hint="default"/>
          <w:b w:val="0"/>
          <w:bCs w:val="0"/>
          <w:highlight w:val="none"/>
          <w:lang w:val="de-DE"/>
        </w:rPr>
      </w:pPr>
      <w:r>
        <w:rPr>
          <w:rFonts w:hint="default"/>
          <w:b w:val="0"/>
          <w:bCs w:val="0"/>
          <w:highlight w:val="none"/>
          <w:lang w:val="de-DE"/>
        </w:rPr>
        <w:t>Applicability: The code applies to all general insurance products and insurance providers who are members of the ICA, which includes most major insurance companies operating in Australia. It covers various types of insurance, including home and contents insurance, car insurance, and travel insurance. It is regularly reviewed to ensure that it remains relevant and effective.</w:t>
      </w:r>
    </w:p>
    <w:p>
      <w:pPr>
        <w:rPr>
          <w:rFonts w:hint="default"/>
          <w:b w:val="0"/>
          <w:bCs w:val="0"/>
          <w:highlight w:val="none"/>
          <w:lang w:val="de-DE"/>
        </w:rPr>
      </w:pPr>
    </w:p>
    <w:p>
      <w:pPr>
        <w:rPr>
          <w:rFonts w:hint="default"/>
          <w:b w:val="0"/>
          <w:bCs w:val="0"/>
          <w:highlight w:val="none"/>
          <w:lang w:val="de-DE"/>
        </w:rPr>
      </w:pPr>
    </w:p>
    <w:p>
      <w:pPr>
        <w:numPr>
          <w:ilvl w:val="0"/>
          <w:numId w:val="0"/>
        </w:numPr>
        <w:rPr>
          <w:rFonts w:hint="default"/>
          <w:b w:val="0"/>
          <w:bCs w:val="0"/>
          <w:highlight w:val="none"/>
          <w:lang w:val="de-DE"/>
        </w:rPr>
      </w:pPr>
      <w:r>
        <w:rPr>
          <w:rFonts w:hint="default"/>
          <w:b w:val="0"/>
          <w:bCs w:val="0"/>
          <w:highlight w:val="none"/>
          <w:lang w:val="de-DE"/>
        </w:rPr>
        <w:t>Regulatory text:““</w:t>
      </w:r>
    </w:p>
    <w:p>
      <w:pPr>
        <w:numPr>
          <w:ilvl w:val="0"/>
          <w:numId w:val="0"/>
        </w:numPr>
        <w:rPr>
          <w:rFonts w:hint="default"/>
          <w:b w:val="0"/>
          <w:bCs w:val="0"/>
          <w:highlight w:val="none"/>
          <w:lang w:val="de-DE"/>
        </w:rPr>
      </w:pPr>
      <w:r>
        <w:rPr>
          <w:rFonts w:hint="default"/>
          <w:b w:val="0"/>
          <w:bCs w:val="0"/>
          <w:highlight w:val="none"/>
          <w:lang w:val="de-DE"/>
        </w:rPr>
        <w:t xml:space="preserve">Document Section: </w:t>
      </w:r>
    </w:p>
    <w:p>
      <w:pPr>
        <w:rPr>
          <w:rFonts w:hint="default"/>
          <w:b w:val="0"/>
          <w:bCs w:val="0"/>
          <w:highlight w:val="none"/>
          <w:lang w:val="de-DE"/>
        </w:rPr>
      </w:pPr>
      <w:r>
        <w:rPr>
          <w:rFonts w:hint="default"/>
          <w:b w:val="0"/>
          <w:bCs w:val="0"/>
          <w:highlight w:val="none"/>
          <w:lang w:val="de-DE"/>
        </w:rPr>
        <w:t xml:space="preserve">From the regulatory document: </w:t>
      </w:r>
      <w:r>
        <w:rPr>
          <w:rFonts w:hint="default"/>
          <w:b/>
          <w:bCs/>
          <w:highlight w:val="none"/>
          <w:lang w:val="de-DE"/>
        </w:rPr>
        <w:t>Travel Insurance Product Disclosure Statement of an australian based insurance company</w:t>
      </w:r>
    </w:p>
    <w:p>
      <w:pPr>
        <w:rPr>
          <w:rFonts w:hint="default"/>
          <w:b w:val="0"/>
          <w:bCs w:val="0"/>
          <w:highlight w:val="none"/>
          <w:lang w:val="de-DE"/>
        </w:rPr>
      </w:pPr>
      <w:r>
        <w:rPr>
          <w:rFonts w:hint="default"/>
          <w:b w:val="0"/>
          <w:bCs w:val="0"/>
          <w:highlight w:val="none"/>
          <w:lang w:val="de-DE"/>
        </w:rPr>
        <w:t>About: The "Travel Insurance Product Disclosure Statement" (PDS) is a document that informs consumers about the features, benefits, and limitations of a companies travel insurance products. It is intended to help consumers make informed decisions and understand the terms and conditions of their policy.</w:t>
      </w:r>
    </w:p>
    <w:p>
      <w:pPr>
        <w:rPr>
          <w:rFonts w:hint="default"/>
          <w:b w:val="0"/>
          <w:bCs w:val="0"/>
          <w:highlight w:val="none"/>
          <w:lang w:val="de-DE"/>
        </w:rPr>
      </w:pPr>
      <w:r>
        <w:rPr>
          <w:rFonts w:hint="default"/>
          <w:b w:val="0"/>
          <w:bCs w:val="0"/>
          <w:highlight w:val="none"/>
          <w:lang w:val="de-DE"/>
        </w:rPr>
        <w:t>Applicability: The Travel Insurance PDS applies to company_xy's travel insurance products and is intended for anyone considering purchasing company_xy's travel insurance, whether they are an individual or a business. It is available on the company website and should be read carefully before purchasing any company_xy travel insurance product.</w:t>
      </w:r>
    </w:p>
    <w:p>
      <w:pPr>
        <w:rPr>
          <w:rFonts w:hint="default"/>
          <w:b w:val="0"/>
          <w:bCs w:val="0"/>
          <w:highlight w:val="none"/>
          <w:lang w:val="de-DE"/>
        </w:rPr>
      </w:pPr>
    </w:p>
    <w:p>
      <w:pPr>
        <w:rPr>
          <w:rFonts w:hint="default"/>
          <w:b w:val="0"/>
          <w:bCs w:val="0"/>
          <w:highlight w:val="none"/>
          <w:lang w:val="de-DE"/>
        </w:rPr>
      </w:pPr>
    </w:p>
    <w:p>
      <w:pPr>
        <w:numPr>
          <w:ilvl w:val="0"/>
          <w:numId w:val="0"/>
        </w:numPr>
        <w:ind w:leftChars="0"/>
        <w:rPr>
          <w:rFonts w:hint="default"/>
          <w:b w:val="0"/>
          <w:bCs w:val="0"/>
          <w:highlight w:val="none"/>
          <w:lang w:val="de-DE"/>
        </w:rPr>
      </w:pPr>
      <w:r>
        <w:rPr>
          <w:rFonts w:hint="default"/>
          <w:b w:val="0"/>
          <w:bCs w:val="0"/>
          <w:highlight w:val="none"/>
          <w:lang w:val="de-DE"/>
        </w:rPr>
        <w:t>Regulatory text:““</w:t>
      </w:r>
    </w:p>
    <w:p>
      <w:pPr>
        <w:numPr>
          <w:ilvl w:val="0"/>
          <w:numId w:val="0"/>
        </w:numPr>
        <w:ind w:leftChars="0"/>
        <w:rPr>
          <w:rFonts w:hint="default"/>
          <w:b w:val="0"/>
          <w:bCs w:val="0"/>
          <w:highlight w:val="none"/>
          <w:lang w:val="de-DE"/>
        </w:rPr>
      </w:pPr>
      <w:r>
        <w:rPr>
          <w:rFonts w:hint="default"/>
          <w:b w:val="0"/>
          <w:bCs w:val="0"/>
          <w:highlight w:val="none"/>
          <w:lang w:val="de-DE"/>
        </w:rPr>
        <w:t xml:space="preserve">Document Section: </w:t>
      </w:r>
    </w:p>
    <w:p>
      <w:pPr>
        <w:rPr>
          <w:rFonts w:hint="default"/>
          <w:b/>
          <w:bCs/>
          <w:highlight w:val="none"/>
          <w:lang w:val="de-DE"/>
        </w:rPr>
      </w:pPr>
      <w:r>
        <w:rPr>
          <w:rFonts w:hint="default"/>
          <w:b w:val="0"/>
          <w:bCs w:val="0"/>
          <w:highlight w:val="none"/>
          <w:lang w:val="de-DE"/>
        </w:rPr>
        <w:t xml:space="preserve">From the regulatory document: </w:t>
      </w:r>
      <w:r>
        <w:rPr>
          <w:rFonts w:hint="default"/>
          <w:b/>
          <w:bCs/>
          <w:highlight w:val="none"/>
          <w:lang w:val="de-DE"/>
        </w:rPr>
        <w:t>Anti-Money Laundering and Counter-Terrorism Financing Act 2006</w:t>
      </w:r>
    </w:p>
    <w:p>
      <w:pPr>
        <w:rPr>
          <w:rFonts w:hint="default"/>
          <w:b w:val="0"/>
          <w:bCs w:val="0"/>
          <w:highlight w:val="none"/>
          <w:lang w:val="de-DE"/>
        </w:rPr>
      </w:pPr>
      <w:r>
        <w:rPr>
          <w:rFonts w:hint="default"/>
          <w:b w:val="0"/>
          <w:bCs w:val="0"/>
          <w:highlight w:val="none"/>
          <w:lang w:val="de-DE"/>
        </w:rPr>
        <w:t xml:space="preserve">About: The Anti-Money Laundering and Counter-Terrorism Financing Act 2006 (AML/CTF Act) is a law aimed at preventing money laundering and the financing of terrorism in Australia. </w:t>
      </w:r>
    </w:p>
    <w:p>
      <w:pPr>
        <w:rPr>
          <w:rFonts w:hint="default"/>
          <w:b w:val="0"/>
          <w:bCs w:val="0"/>
          <w:highlight w:val="none"/>
          <w:lang w:val="de-DE"/>
        </w:rPr>
      </w:pPr>
      <w:r>
        <w:rPr>
          <w:rFonts w:hint="default"/>
          <w:b w:val="0"/>
          <w:bCs w:val="0"/>
          <w:highlight w:val="none"/>
          <w:lang w:val="de-DE"/>
        </w:rPr>
        <w:t>Applicability:  The Anti-Money Laundering and Counter-Terrorism Financing Act 2006 requires certain businesses and professions, such as financial institutions, casinos, and lawyers, to establish and maintain systems to identify and verify the identity of their customers, report suspicious transactions, and keep records of financial transactions.</w:t>
      </w:r>
    </w:p>
    <w:p>
      <w:pPr>
        <w:rPr>
          <w:rFonts w:hint="default"/>
          <w:b w:val="0"/>
          <w:bCs w:val="0"/>
          <w:highlight w:val="none"/>
          <w:lang w:val="de-DE"/>
        </w:rPr>
      </w:pPr>
    </w:p>
    <w:p>
      <w:pPr>
        <w:rPr>
          <w:rFonts w:hint="default"/>
          <w:b w:val="0"/>
          <w:bCs w:val="0"/>
          <w:highlight w:val="none"/>
          <w:lang w:val="de-DE"/>
        </w:rPr>
      </w:pPr>
    </w:p>
    <w:p>
      <w:pPr>
        <w:numPr>
          <w:ilvl w:val="0"/>
          <w:numId w:val="0"/>
        </w:numPr>
        <w:ind w:leftChars="0"/>
        <w:rPr>
          <w:rFonts w:hint="default"/>
          <w:b w:val="0"/>
          <w:bCs w:val="0"/>
          <w:highlight w:val="none"/>
          <w:lang w:val="de-DE"/>
        </w:rPr>
      </w:pPr>
      <w:r>
        <w:rPr>
          <w:rFonts w:hint="default"/>
          <w:b w:val="0"/>
          <w:bCs w:val="0"/>
          <w:highlight w:val="none"/>
          <w:lang w:val="de-DE"/>
        </w:rPr>
        <w:t>Regulatory text:““</w:t>
      </w:r>
    </w:p>
    <w:p>
      <w:pPr>
        <w:numPr>
          <w:ilvl w:val="0"/>
          <w:numId w:val="0"/>
        </w:numPr>
        <w:ind w:leftChars="0"/>
        <w:rPr>
          <w:rFonts w:hint="default"/>
          <w:b w:val="0"/>
          <w:bCs w:val="0"/>
          <w:highlight w:val="none"/>
          <w:lang w:val="de-DE"/>
        </w:rPr>
      </w:pPr>
      <w:r>
        <w:rPr>
          <w:rFonts w:hint="default"/>
          <w:b w:val="0"/>
          <w:bCs w:val="0"/>
          <w:highlight w:val="none"/>
          <w:lang w:val="de-DE"/>
        </w:rPr>
        <w:t xml:space="preserve">Document Section: </w:t>
      </w:r>
    </w:p>
    <w:p>
      <w:pPr>
        <w:rPr>
          <w:rFonts w:hint="default"/>
          <w:b/>
          <w:bCs/>
          <w:highlight w:val="none"/>
          <w:lang w:val="de-DE"/>
        </w:rPr>
      </w:pPr>
      <w:r>
        <w:rPr>
          <w:rFonts w:hint="default"/>
          <w:b w:val="0"/>
          <w:bCs w:val="0"/>
          <w:highlight w:val="none"/>
          <w:lang w:val="de-DE"/>
        </w:rPr>
        <w:t xml:space="preserve">From the regulatory document: </w:t>
      </w:r>
      <w:r>
        <w:rPr>
          <w:rFonts w:hint="default"/>
          <w:b/>
          <w:bCs/>
          <w:highlight w:val="none"/>
          <w:lang w:val="de-DE"/>
        </w:rPr>
        <w:t>Disability Discrimination Act 1992</w:t>
      </w:r>
    </w:p>
    <w:p>
      <w:pPr>
        <w:rPr>
          <w:rFonts w:hint="default"/>
          <w:b w:val="0"/>
          <w:bCs w:val="0"/>
          <w:highlight w:val="none"/>
          <w:lang w:val="de-DE"/>
        </w:rPr>
      </w:pPr>
      <w:r>
        <w:rPr>
          <w:rFonts w:hint="default"/>
          <w:b w:val="0"/>
          <w:bCs w:val="0"/>
          <w:highlight w:val="none"/>
          <w:lang w:val="de-DE"/>
        </w:rPr>
        <w:t>About: The Disability Discrimination Act 1992 is an Australian law that prohibits discrimination against people with disabilities in various areas of public life, including employment, education, and access to services and facilities. It aims to promote equal rights, opportunities, and access for people with disabilities and to eliminate discrimination on the basis of disability.</w:t>
      </w:r>
    </w:p>
    <w:p>
      <w:pPr>
        <w:rPr>
          <w:rFonts w:hint="default"/>
          <w:b w:val="0"/>
          <w:bCs w:val="0"/>
          <w:highlight w:val="none"/>
          <w:lang w:val="de-DE"/>
        </w:rPr>
      </w:pPr>
      <w:r>
        <w:rPr>
          <w:rFonts w:hint="default"/>
          <w:b w:val="0"/>
          <w:bCs w:val="0"/>
          <w:highlight w:val="none"/>
          <w:lang w:val="de-DE"/>
        </w:rPr>
        <w:t>Applicability: The Disability Discrimination Act 1992 requires all individuals and organizations, including businesses, governments, and non-profit organizations, to comply with the law and ensure that people with disabilities are not discriminated against in various areas of public life.</w:t>
      </w:r>
    </w:p>
    <w:p>
      <w:pPr>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p>
    <w:p>
      <w:pPr>
        <w:numPr>
          <w:ilvl w:val="0"/>
          <w:numId w:val="0"/>
        </w:numPr>
        <w:ind w:leftChars="0"/>
        <w:rPr>
          <w:rFonts w:hint="default"/>
          <w:b w:val="0"/>
          <w:bCs w:val="0"/>
          <w:highlight w:val="none"/>
          <w:lang w:val="de-DE"/>
        </w:rPr>
      </w:pPr>
      <w:r>
        <w:rPr>
          <w:rFonts w:hint="default"/>
          <w:b w:val="0"/>
          <w:bCs w:val="0"/>
          <w:highlight w:val="none"/>
          <w:lang w:val="de-DE"/>
        </w:rPr>
        <w:t>Regulatory text:““</w:t>
      </w:r>
    </w:p>
    <w:p>
      <w:pPr>
        <w:numPr>
          <w:ilvl w:val="0"/>
          <w:numId w:val="0"/>
        </w:numPr>
        <w:ind w:leftChars="0"/>
        <w:rPr>
          <w:rFonts w:hint="default"/>
          <w:b w:val="0"/>
          <w:bCs w:val="0"/>
          <w:highlight w:val="none"/>
          <w:lang w:val="de-DE"/>
        </w:rPr>
      </w:pPr>
      <w:r>
        <w:rPr>
          <w:rFonts w:hint="default"/>
          <w:b w:val="0"/>
          <w:bCs w:val="0"/>
          <w:highlight w:val="none"/>
          <w:lang w:val="de-DE"/>
        </w:rPr>
        <w:t xml:space="preserve">Document Section: </w:t>
      </w:r>
    </w:p>
    <w:p>
      <w:pPr>
        <w:rPr>
          <w:rFonts w:hint="default"/>
          <w:b w:val="0"/>
          <w:bCs w:val="0"/>
          <w:highlight w:val="none"/>
          <w:lang w:val="de-DE"/>
        </w:rPr>
      </w:pPr>
      <w:r>
        <w:rPr>
          <w:rFonts w:hint="default"/>
          <w:b w:val="0"/>
          <w:bCs w:val="0"/>
          <w:highlight w:val="none"/>
          <w:lang w:val="de-DE"/>
        </w:rPr>
        <w:t xml:space="preserve">From the regulatory document: </w:t>
      </w:r>
      <w:r>
        <w:rPr>
          <w:rFonts w:hint="default"/>
          <w:b/>
          <w:bCs/>
          <w:highlight w:val="none"/>
          <w:lang w:val="de-DE"/>
        </w:rPr>
        <w:t>The Insurance Companies Regulations 1994</w:t>
      </w:r>
      <w:r>
        <w:rPr>
          <w:rFonts w:hint="default"/>
          <w:b w:val="0"/>
          <w:bCs w:val="0"/>
          <w:highlight w:val="none"/>
          <w:lang w:val="de-DE"/>
        </w:rPr>
        <w:t xml:space="preserve"> </w:t>
      </w:r>
    </w:p>
    <w:p>
      <w:pPr>
        <w:rPr>
          <w:rFonts w:hint="default"/>
          <w:b w:val="0"/>
          <w:bCs w:val="0"/>
          <w:highlight w:val="none"/>
          <w:lang w:val="de-DE"/>
        </w:rPr>
      </w:pPr>
      <w:r>
        <w:rPr>
          <w:rFonts w:hint="default"/>
          <w:b w:val="0"/>
          <w:bCs w:val="0"/>
          <w:highlight w:val="none"/>
          <w:lang w:val="de-DE"/>
        </w:rPr>
        <w:t xml:space="preserve">About: The UK law Insurance Companies Regulations 1994 sets out rules and requirements for insurance companies, including minimum levels of capital and solvency margins, and provisions for the protection of policyholders. It also establishes a regulatory framework for the approval and supervision of insurance companies by the Financial Conduct Authority (FCA). </w:t>
      </w:r>
    </w:p>
    <w:p>
      <w:pPr>
        <w:rPr>
          <w:rFonts w:hint="default"/>
          <w:b w:val="0"/>
          <w:bCs w:val="0"/>
          <w:highlight w:val="none"/>
          <w:lang w:val="de-DE"/>
        </w:rPr>
      </w:pPr>
      <w:r>
        <w:rPr>
          <w:rFonts w:hint="default"/>
          <w:b w:val="0"/>
          <w:bCs w:val="0"/>
          <w:highlight w:val="none"/>
          <w:lang w:val="de-DE"/>
        </w:rPr>
        <w:t>Applicability: All insurance companies operating in the UK, including those based overseas, must comply with the UK law Insurance Companies Regulations 1994. This includes both life and non-life insurance companies, as well as reinsurers and insurance intermediaries.</w:t>
      </w:r>
    </w:p>
    <w:p>
      <w:pPr>
        <w:rPr>
          <w:rFonts w:hint="default"/>
          <w:b w:val="0"/>
          <w:bCs w:val="0"/>
          <w:highlight w:val="none"/>
          <w:lang w:val="de-DE"/>
        </w:rPr>
      </w:pPr>
    </w:p>
    <w:p>
      <w:pPr>
        <w:rPr>
          <w:rFonts w:hint="default"/>
          <w:b w:val="0"/>
          <w:bCs w:val="0"/>
          <w:highlight w:val="none"/>
          <w:lang w:val="de-DE"/>
        </w:rPr>
      </w:pPr>
    </w:p>
    <w:p>
      <w:pPr>
        <w:numPr>
          <w:ilvl w:val="0"/>
          <w:numId w:val="0"/>
        </w:numPr>
        <w:ind w:leftChars="0"/>
        <w:rPr>
          <w:rFonts w:hint="default"/>
          <w:b w:val="0"/>
          <w:bCs w:val="0"/>
          <w:highlight w:val="none"/>
          <w:lang w:val="de-DE"/>
        </w:rPr>
      </w:pPr>
      <w:r>
        <w:rPr>
          <w:rFonts w:hint="default"/>
          <w:b w:val="0"/>
          <w:bCs w:val="0"/>
          <w:highlight w:val="none"/>
          <w:lang w:val="de-DE"/>
        </w:rPr>
        <w:t>Regulatory text:““</w:t>
      </w:r>
    </w:p>
    <w:p>
      <w:pPr>
        <w:numPr>
          <w:ilvl w:val="0"/>
          <w:numId w:val="0"/>
        </w:numPr>
        <w:ind w:leftChars="0"/>
        <w:rPr>
          <w:rFonts w:hint="default"/>
          <w:b w:val="0"/>
          <w:bCs w:val="0"/>
          <w:highlight w:val="none"/>
          <w:lang w:val="de-DE"/>
        </w:rPr>
      </w:pPr>
      <w:r>
        <w:rPr>
          <w:rFonts w:hint="default"/>
          <w:b w:val="0"/>
          <w:bCs w:val="0"/>
          <w:highlight w:val="none"/>
          <w:lang w:val="de-DE"/>
        </w:rPr>
        <w:t xml:space="preserve">Document Section: </w:t>
      </w:r>
    </w:p>
    <w:p>
      <w:pPr>
        <w:rPr>
          <w:rFonts w:hint="default"/>
          <w:b/>
          <w:bCs/>
          <w:highlight w:val="none"/>
          <w:lang w:val="de-DE"/>
        </w:rPr>
      </w:pPr>
      <w:r>
        <w:rPr>
          <w:rFonts w:hint="default"/>
          <w:b w:val="0"/>
          <w:bCs w:val="0"/>
          <w:highlight w:val="none"/>
          <w:lang w:val="de-DE"/>
        </w:rPr>
        <w:t xml:space="preserve">From the regulatory document: </w:t>
      </w:r>
      <w:r>
        <w:rPr>
          <w:rFonts w:hint="default"/>
          <w:b/>
          <w:bCs/>
          <w:highlight w:val="none"/>
          <w:lang w:val="de-DE"/>
        </w:rPr>
        <w:t>Fair Work Act 2009</w:t>
      </w:r>
    </w:p>
    <w:p>
      <w:pPr>
        <w:rPr>
          <w:rFonts w:hint="default"/>
          <w:b w:val="0"/>
          <w:bCs w:val="0"/>
          <w:highlight w:val="none"/>
          <w:lang w:val="de-DE"/>
        </w:rPr>
      </w:pPr>
      <w:r>
        <w:rPr>
          <w:rFonts w:hint="default"/>
          <w:b w:val="0"/>
          <w:bCs w:val="0"/>
          <w:highlight w:val="none"/>
          <w:lang w:val="de-DE"/>
        </w:rPr>
        <w:t>About: The Fair Work Act 2009 is an Australian law that sets out the minimum employment conditions for most employees in Australia, including minimum wages, working hours, leave entitlements, and termination rights. It also establishes the framework for industrial relations, including the rights and obligations of employers and employees, and the role of unions and employer associations.</w:t>
      </w:r>
    </w:p>
    <w:p>
      <w:pPr>
        <w:rPr>
          <w:rFonts w:hint="default"/>
          <w:b w:val="0"/>
          <w:bCs w:val="0"/>
          <w:highlight w:val="none"/>
          <w:lang w:val="de-DE"/>
        </w:rPr>
      </w:pPr>
      <w:r>
        <w:rPr>
          <w:rFonts w:hint="default"/>
          <w:b w:val="0"/>
          <w:bCs w:val="0"/>
          <w:highlight w:val="none"/>
          <w:lang w:val="de-DE"/>
        </w:rPr>
        <w:t>Applicability: The Fair Work Act 2009 applies to most employers and employees in Australia, including full-time, part-time, and casual workers.</w:t>
      </w:r>
    </w:p>
    <w:p>
      <w:pPr>
        <w:rPr>
          <w:rFonts w:hint="default"/>
          <w:b w:val="0"/>
          <w:bCs w:val="0"/>
          <w:highlight w:val="none"/>
          <w:lang w:val="de-DE"/>
        </w:rPr>
      </w:pPr>
    </w:p>
    <w:p>
      <w:pPr>
        <w:rPr>
          <w:rFonts w:hint="default"/>
          <w:b w:val="0"/>
          <w:bCs w:val="0"/>
          <w:highlight w:val="none"/>
          <w:lang w:val="de-DE"/>
        </w:rPr>
      </w:pPr>
    </w:p>
    <w:p>
      <w:pPr>
        <w:numPr>
          <w:ilvl w:val="0"/>
          <w:numId w:val="0"/>
        </w:numPr>
        <w:ind w:leftChars="0"/>
        <w:rPr>
          <w:rFonts w:hint="default"/>
          <w:b w:val="0"/>
          <w:bCs w:val="0"/>
          <w:highlight w:val="none"/>
          <w:lang w:val="de-DE"/>
        </w:rPr>
      </w:pPr>
      <w:r>
        <w:rPr>
          <w:rFonts w:hint="default"/>
          <w:b w:val="0"/>
          <w:bCs w:val="0"/>
          <w:highlight w:val="none"/>
          <w:lang w:val="de-DE"/>
        </w:rPr>
        <w:t>Regulatory text:““</w:t>
      </w:r>
    </w:p>
    <w:p>
      <w:pPr>
        <w:numPr>
          <w:ilvl w:val="0"/>
          <w:numId w:val="0"/>
        </w:numPr>
        <w:ind w:leftChars="0"/>
        <w:rPr>
          <w:rFonts w:hint="default"/>
          <w:b w:val="0"/>
          <w:bCs w:val="0"/>
          <w:highlight w:val="none"/>
          <w:lang w:val="de-DE"/>
        </w:rPr>
      </w:pPr>
      <w:r>
        <w:rPr>
          <w:rFonts w:hint="default"/>
          <w:b w:val="0"/>
          <w:bCs w:val="0"/>
          <w:highlight w:val="none"/>
          <w:lang w:val="de-DE"/>
        </w:rPr>
        <w:t xml:space="preserve">Document Section: </w:t>
      </w:r>
    </w:p>
    <w:p>
      <w:pPr>
        <w:rPr>
          <w:rFonts w:hint="default"/>
          <w:b/>
          <w:bCs/>
          <w:highlight w:val="none"/>
          <w:lang w:val="de-DE"/>
        </w:rPr>
      </w:pPr>
      <w:r>
        <w:rPr>
          <w:rFonts w:hint="default"/>
          <w:b w:val="0"/>
          <w:bCs w:val="0"/>
          <w:highlight w:val="none"/>
          <w:lang w:val="de-DE"/>
        </w:rPr>
        <w:t xml:space="preserve">From the regulatory document: </w:t>
      </w:r>
      <w:r>
        <w:rPr>
          <w:rFonts w:hint="default"/>
          <w:b/>
          <w:bCs/>
          <w:highlight w:val="none"/>
          <w:lang w:val="de-DE"/>
        </w:rPr>
        <w:t>Anti-Money Laundering and Counter-Terrorism Financing Rules Instrument 2007 (No. 1)</w:t>
      </w:r>
    </w:p>
    <w:p>
      <w:pPr>
        <w:rPr>
          <w:rFonts w:hint="default"/>
          <w:b w:val="0"/>
          <w:bCs w:val="0"/>
          <w:highlight w:val="none"/>
          <w:lang w:val="de-DE"/>
        </w:rPr>
      </w:pPr>
      <w:r>
        <w:rPr>
          <w:rFonts w:hint="default"/>
          <w:b w:val="0"/>
          <w:bCs w:val="0"/>
          <w:highlight w:val="none"/>
          <w:lang w:val="de-DE"/>
        </w:rPr>
        <w:t xml:space="preserve">About: The Anti-Money Laundering and Counter-Terrorism Financing Rules (AML/CTF rules) are subsidiary legislative instruments made under the AML/CTF Act. The AML/CTF Rules provide the detail for the broader obligations set out in the AML/CTF Act. </w:t>
      </w:r>
    </w:p>
    <w:p>
      <w:pPr>
        <w:rPr>
          <w:rFonts w:hint="default"/>
          <w:b w:val="0"/>
          <w:bCs w:val="0"/>
          <w:highlight w:val="none"/>
          <w:lang w:val="de-DE"/>
        </w:rPr>
      </w:pPr>
      <w:r>
        <w:rPr>
          <w:rFonts w:hint="default"/>
          <w:b w:val="0"/>
          <w:bCs w:val="0"/>
          <w:highlight w:val="none"/>
          <w:lang w:val="de-DE"/>
        </w:rPr>
        <w:t xml:space="preserve">Applicability: The Anti-Money Laundering and Counter-Terrorism Financing Rules apply to a wide range of businesses and professions, including financial institutions, money service businesses, casinos, real estate agents, lawyers, accountants, and dealers of high-value goods, who are required to comply with the regulations and implement risk-based approaches to prevent and detect financial crimes.  </w:t>
      </w:r>
    </w:p>
    <w:p>
      <w:pPr>
        <w:rPr>
          <w:rFonts w:hint="default"/>
          <w:b w:val="0"/>
          <w:bCs w:val="0"/>
          <w:highlight w:val="none"/>
          <w:lang w:val="de-DE"/>
        </w:rPr>
      </w:pPr>
    </w:p>
    <w:p>
      <w:pPr>
        <w:rPr>
          <w:rFonts w:hint="default"/>
          <w:b w:val="0"/>
          <w:bCs w:val="0"/>
          <w:highlight w:val="none"/>
          <w:lang w:val="de-DE"/>
        </w:rPr>
      </w:pPr>
    </w:p>
    <w:p>
      <w:pPr>
        <w:numPr>
          <w:ilvl w:val="0"/>
          <w:numId w:val="0"/>
        </w:numPr>
        <w:ind w:leftChars="0"/>
        <w:rPr>
          <w:rFonts w:hint="default"/>
          <w:b w:val="0"/>
          <w:bCs w:val="0"/>
          <w:highlight w:val="none"/>
          <w:lang w:val="de-DE"/>
        </w:rPr>
      </w:pPr>
      <w:r>
        <w:rPr>
          <w:rFonts w:hint="default"/>
          <w:b w:val="0"/>
          <w:bCs w:val="0"/>
          <w:highlight w:val="none"/>
          <w:lang w:val="de-DE"/>
        </w:rPr>
        <w:t>Regulatory text:““</w:t>
      </w:r>
    </w:p>
    <w:p>
      <w:pPr>
        <w:numPr>
          <w:ilvl w:val="0"/>
          <w:numId w:val="0"/>
        </w:numPr>
        <w:ind w:leftChars="0"/>
        <w:rPr>
          <w:rFonts w:hint="default"/>
          <w:b w:val="0"/>
          <w:bCs w:val="0"/>
          <w:highlight w:val="none"/>
          <w:lang w:val="de-DE"/>
        </w:rPr>
      </w:pPr>
      <w:r>
        <w:rPr>
          <w:rFonts w:hint="default"/>
          <w:b w:val="0"/>
          <w:bCs w:val="0"/>
          <w:highlight w:val="none"/>
          <w:lang w:val="de-DE"/>
        </w:rPr>
        <w:t xml:space="preserve">Document Section: </w:t>
      </w:r>
      <w:bookmarkStart w:id="0" w:name="_GoBack"/>
      <w:bookmarkEnd w:id="0"/>
    </w:p>
    <w:p>
      <w:pPr>
        <w:rPr>
          <w:rFonts w:hint="default"/>
          <w:b w:val="0"/>
          <w:bCs w:val="0"/>
          <w:highlight w:val="none"/>
          <w:lang w:val="de-DE"/>
        </w:rPr>
      </w:pPr>
      <w:r>
        <w:rPr>
          <w:rFonts w:hint="default"/>
          <w:b w:val="0"/>
          <w:bCs w:val="0"/>
          <w:highlight w:val="none"/>
          <w:lang w:val="de-DE"/>
        </w:rPr>
        <w:t xml:space="preserve">From the regulatory document: </w:t>
      </w:r>
      <w:r>
        <w:rPr>
          <w:rFonts w:hint="default"/>
          <w:b/>
          <w:bCs/>
          <w:highlight w:val="none"/>
          <w:lang w:val="de-DE"/>
        </w:rPr>
        <w:t>Privacy Act 1988 and its Amendments</w:t>
      </w:r>
      <w:r>
        <w:rPr>
          <w:rFonts w:hint="default"/>
          <w:b w:val="0"/>
          <w:bCs w:val="0"/>
          <w:highlight w:val="none"/>
          <w:lang w:val="de-DE"/>
        </w:rPr>
        <w:t xml:space="preserve"> </w:t>
      </w:r>
    </w:p>
    <w:p>
      <w:pPr>
        <w:rPr>
          <w:rFonts w:hint="default"/>
          <w:b w:val="0"/>
          <w:bCs w:val="0"/>
          <w:highlight w:val="none"/>
          <w:lang w:val="de-DE"/>
        </w:rPr>
      </w:pPr>
      <w:r>
        <w:rPr>
          <w:rFonts w:hint="default"/>
          <w:b w:val="0"/>
          <w:bCs w:val="0"/>
          <w:highlight w:val="none"/>
          <w:lang w:val="de-DE"/>
        </w:rPr>
        <w:t>About: The Privacy Act 1988 and its Amendments regulate the collection, use, storage, and disclosure of personal information by Australian government agencies and businesses. It also grants individuals the right to access and correct their personal information held by these entities.</w:t>
      </w:r>
    </w:p>
    <w:p>
      <w:pPr>
        <w:rPr>
          <w:rFonts w:hint="default"/>
          <w:b w:val="0"/>
          <w:bCs w:val="0"/>
          <w:highlight w:val="none"/>
          <w:lang w:val="de-DE"/>
        </w:rPr>
      </w:pPr>
      <w:r>
        <w:rPr>
          <w:rFonts w:hint="default"/>
          <w:b w:val="0"/>
          <w:bCs w:val="0"/>
          <w:highlight w:val="none"/>
          <w:lang w:val="de-DE"/>
        </w:rPr>
        <w:t>Applicability: The Privacy Act 1988 and its Amendments apply to Australian government agencies and private sector businesses with an annual turnover of more than $3 million, as well as some smaller businesses such as those providing health services or trading in personal information. Additionally, some entities that are not primarily located in Australia but collect personal information from Australian citizens or residents may also need to comply with the Act.</w:t>
      </w:r>
    </w:p>
    <w:p>
      <w:pPr>
        <w:rPr>
          <w:rFonts w:hint="default"/>
          <w:b w:val="0"/>
          <w:bCs w:val="0"/>
          <w:highlight w:val="none"/>
          <w:lang w:val="de-DE"/>
        </w:rPr>
      </w:pPr>
    </w:p>
    <w:p>
      <w:pPr>
        <w:rPr>
          <w:rFonts w:hint="default"/>
          <w:b w:val="0"/>
          <w:bCs w:val="0"/>
          <w:highlight w:val="none"/>
          <w:lang w:val="de-DE"/>
        </w:rPr>
      </w:pP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ABD6"/>
    <w:rsid w:val="3EFF40CD"/>
    <w:rsid w:val="DF9DA560"/>
    <w:rsid w:val="EF99F0A3"/>
    <w:rsid w:val="FFFFA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2023-05-22T12:29:00Z</dcterms:created>
  <dc:creator>catherinesai</dc:creator>
  <cp:lastModifiedBy>catherinesai</cp:lastModifiedBy>
  <dcterms:modified xsi:type="dcterms:W3CDTF">2023-05-25T08:17:15Z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