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3a5e"/>
          <w:sz w:val="40"/>
          <w:szCs w:val="40"/>
        </w:rPr>
        <w:t xml:space="preserve">Allergy Nurture Nurses</w:t>
      </w:r>
    </w:p>
    <w:p>
      <w:pPr>
        <w:spacing w:after="220"/>
      </w:pPr>
      <w:r>
        <w:rPr>
          <w:i/>
          <w:iCs/>
          <w:color w:val="52514e"/>
          <w:sz w:val="20"/>
          <w:szCs w:val="20"/>
        </w:rPr>
        <w:t xml:space="preserve">CQC-registered, nurse-led remote allergy and asthma advisory service for children, young people and families</w:t>
      </w:r>
    </w:p>
    <w:tbl>
      <w:tblPr>
        <w:tblW w:type="dxa" w:w="9026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</w:tblPr>
      <w:tblGrid>
        <w:gridCol w:w="2600"/>
        <w:gridCol w:w="6426"/>
      </w:tblGrid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Service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CQC-registered, nurse-led remote allergy and asthma advisory service for children, young people and families.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Led by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Catherine Neale, Registered Children's Nurse and Clinical Nurse Specialist — 25+ years' nursing experience, including 7 years in specialist paediatric allergy.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Core areas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Non-IgE food allergy, eczema, allergic rhinitis, allergy-related respiratory/asthma awareness, feeding concerns and food introduction.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Purpose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Timely education, support, safety-netting and signposting for families — complementing existing NHS and community pathways, not replacing them.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Who may benefit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Families seeking non-urgent support to understand allergy-related symptoms, symptom patterns, practical next steps and when to seek further medical review.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Professional support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Allergy and asthma awareness training for nurseries, schools and education settings.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What we do not provide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Diagnosis, prescribing, allergy testing, emergency care, acute asthma/anaphylaxis management, or replacement of GP/NHS/specialist services.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Collaboration aim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To explore how the service may support local families, GP practices, community teams, schools, nurseries and commissioning priorities.</w:t>
            </w:r>
          </w:p>
        </w:tc>
      </w:tr>
      <w:tr>
        <w:tc>
          <w:tcPr>
            <w:tcW w:type="dxa" w:w="26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Accessibility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Remote, UK-wide support, including for families whose primary language is not English, with communication support considered where appropriate.</w:t>
            </w:r>
          </w:p>
        </w:tc>
      </w:tr>
    </w:tbl>
    <w:p>
      <w:pPr>
        <w:pBdr>
          <w:bottom w:val="single" w:color="2a78d6" w:sz="6" w:space="4"/>
        </w:pBdr>
        <w:spacing w:after="100" w:before="260"/>
      </w:pPr>
      <w:r>
        <w:rPr>
          <w:b/>
          <w:bCs/>
          <w:color w:val="1c3a5e"/>
          <w:sz w:val="24"/>
          <w:szCs w:val="24"/>
        </w:rPr>
        <w:t xml:space="preserve">Why this matters</w:t>
      </w:r>
    </w:p>
    <w:p>
      <w:pPr>
        <w:spacing w:after="160"/>
      </w:pPr>
      <w:r>
        <w:rPr>
          <w:color w:val="52514e"/>
          <w:sz w:val="19"/>
          <w:szCs w:val="19"/>
        </w:rPr>
        <w:t xml:space="preserve">Allergic conditions in children are common, rising, and carry a real safety dimension — early education and timely signposting can reduce risk and pressure on stretched services.</w:t>
      </w:r>
    </w:p>
    <w:p>
      <w:pPr>
        <w:spacing w:after="1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shd w:fill="f4f4f2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2a78d6"/>
                <w:sz w:val="34"/>
                <w:szCs w:val="34"/>
              </w:rPr>
              <w:t xml:space="preserve">348%</w:t>
            </w:r>
          </w:p>
          <w:p>
            <w:pPr>
              <w:jc w:val="center"/>
            </w:pPr>
            <w:r>
              <w:rPr>
                <w:color w:val="52514e"/>
                <w:sz w:val="16"/>
                <w:szCs w:val="16"/>
              </w:rPr>
              <w:t xml:space="preserve">rise in child (5–14) asthma hospital admissions every September vs. August — Asthma + Lung UK</w:t>
            </w:r>
          </w:p>
        </w:tc>
        <w:tc>
          <w:tcPr>
            <w:tcW w:type="dxa" w:w="3008"/>
            <w:shd w:fill="f4f4f2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2a78d6"/>
                <w:sz w:val="34"/>
                <w:szCs w:val="34"/>
              </w:rPr>
              <w:t xml:space="preserve">54</w:t>
            </w:r>
          </w:p>
          <w:p>
            <w:pPr>
              <w:jc w:val="center"/>
            </w:pPr>
            <w:r>
              <w:rPr>
                <w:color w:val="52514e"/>
                <w:sz w:val="16"/>
                <w:szCs w:val="16"/>
              </w:rPr>
              <w:t xml:space="preserve">child deaths from asthma, England, Apr 2019–Mar 2023 — NCMD</w:t>
            </w:r>
          </w:p>
        </w:tc>
        <w:tc>
          <w:tcPr>
            <w:tcW w:type="dxa" w:w="3010"/>
            <w:shd w:fill="f4f4f2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2a78d6"/>
                <w:sz w:val="34"/>
                <w:szCs w:val="34"/>
              </w:rPr>
              <w:t xml:space="preserve">19</w:t>
            </w:r>
          </w:p>
          <w:p>
            <w:pPr>
              <w:jc w:val="center"/>
            </w:pPr>
            <w:r>
              <w:rPr>
                <w:color w:val="52514e"/>
                <w:sz w:val="16"/>
                <w:szCs w:val="16"/>
              </w:rPr>
              <w:t xml:space="preserve">child deaths from anaphylaxis, same period — NCMD</w:t>
            </w:r>
          </w:p>
        </w:tc>
      </w:tr>
    </w:tbl>
    <w:p>
      <w:pPr>
        <w:pBdr>
          <w:bottom w:val="single" w:color="2a78d6" w:sz="6" w:space="4"/>
        </w:pBdr>
        <w:spacing w:after="100" w:before="260"/>
      </w:pPr>
      <w:r>
        <w:rPr>
          <w:b/>
          <w:bCs/>
          <w:color w:val="1c3a5e"/>
          <w:sz w:val="24"/>
          <w:szCs w:val="24"/>
        </w:rPr>
        <w:t xml:space="preserve">Scope of practice</w:t>
      </w:r>
    </w:p>
    <w:p>
      <w:pPr>
        <w:spacing w:after="100"/>
      </w:pPr>
      <w:r>
        <w:rPr>
          <w:b/>
          <w:bCs/>
          <w:color w:val="1c3a5e"/>
          <w:sz w:val="19"/>
          <w:szCs w:val="19"/>
        </w:rPr>
        <w:t xml:space="preserve">Included: </w:t>
      </w:r>
      <w:r>
        <w:rPr>
          <w:sz w:val="19"/>
          <w:szCs w:val="19"/>
        </w:rPr>
        <w:t xml:space="preserve">non-urgent support for suspected/known Non-IgE food allergy, eczema where allergy may be a factor, allergic rhinitis, allergy-related respiratory/asthma awareness, feeding concerns, food introduction and symptom education.</w:t>
      </w:r>
    </w:p>
    <w:p>
      <w:pPr>
        <w:spacing w:after="160"/>
      </w:pPr>
      <w:r>
        <w:rPr>
          <w:b/>
          <w:bCs/>
          <w:color w:val="1c3a5e"/>
          <w:sz w:val="19"/>
          <w:szCs w:val="19"/>
        </w:rPr>
        <w:t xml:space="preserve">Excluded: </w:t>
      </w:r>
      <w:r>
        <w:rPr>
          <w:sz w:val="19"/>
          <w:szCs w:val="19"/>
        </w:rPr>
        <w:t xml:space="preserve">any child who is acutely unwell, or has breathing difficulty, symptoms of anaphylaxis, acute asthma symptoms, collapse, severe illness or rapid deterioration — families are directed to call 999 or attend emergency care.</w:t>
      </w:r>
    </w:p>
    <w:p>
      <w:pPr>
        <w:pBdr>
          <w:bottom w:val="single" w:color="2a78d6" w:sz="6" w:space="4"/>
        </w:pBdr>
        <w:spacing w:after="100" w:before="260"/>
      </w:pPr>
      <w:r>
        <w:rPr>
          <w:b/>
          <w:bCs/>
          <w:color w:val="1c3a5e"/>
          <w:sz w:val="24"/>
          <w:szCs w:val="24"/>
        </w:rPr>
        <w:t xml:space="preserve">Evidence and standards</w:t>
      </w:r>
    </w:p>
    <w:tbl>
      <w:tblPr>
        <w:tblW w:type="dxa" w:w="9026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</w:tblPr>
      <w:tblGrid>
        <w:gridCol w:w="2200"/>
        <w:gridCol w:w="6826"/>
      </w:tblGrid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Regulation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Registered with CQC; assessed against whether services are safe, effective, caring, responsive and well-led.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Professional standards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Aligned with the NMC Code: prioritise people, practise effectively, preserve safety, promote professionalism and trust.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Food allergy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NICE guidance (CG116) supports an allergy-focused clinical history, appropriate assessment and referral/signposting where needed.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Non-IgE food allergy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NICE recognises the diagnostic challenge of Non-IgE food allergy and the role of elimination/reintroduction where clinically appropriate.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Eczema and allergy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NICE guidance (CG57) recognises food allergy may need consideration in babies/children with atopic eczema in specific circumstances.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Allergic rhinitis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BSACI: allergic rhinitis affects 10–15% of UK children and can affect quality of life, school attendance and asthma control.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Asthma / respiratory risk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Asthma + Lung UK: child (5–14) asthma hospital admissions rise sharply (348%) every September vs. August.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Child mortality learning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NCMD (2019–2023): 54 child deaths from asthma, 19 from anaphylaxis — themes include asthma control, action plans, communication and education.</w:t>
            </w:r>
          </w:p>
        </w:tc>
      </w:tr>
      <w:tr>
        <w:tc>
          <w:tcPr>
            <w:tcW w:type="dxa" w:w="2200"/>
            <w:shd w:fill="eaf1f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c3a5e"/>
                <w:sz w:val="19"/>
                <w:szCs w:val="19"/>
              </w:rPr>
              <w:t xml:space="preserve">Accessibility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b0b0b"/>
                <w:sz w:val="19"/>
                <w:szCs w:val="19"/>
              </w:rPr>
              <w:t xml:space="preserve">NHS England's Accessible Information Standard — identifying, recording and meeting people's communication and information needs.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3c2b7" w:sz="4" w:space="6"/>
      </w:pBdr>
    </w:pPr>
    <w:r>
      <w:rPr>
        <w:color w:val="52514e"/>
        <w:sz w:val="16"/>
        <w:szCs w:val="16"/>
      </w:rPr>
      <w:t xml:space="preserve">catherine@allergynurturenurses.co.uk  •  www.allergynurturenurses.co.uk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3c2b7" w:sz="4" w:space="6"/>
      </w:pBdr>
    </w:pPr>
    <w:r>
      <w:rPr>
        <w:color w:val="52514e"/>
        <w:sz w:val="16"/>
        <w:szCs w:val="16"/>
      </w:rPr>
      <w:t xml:space="preserve">Allergy Nurture Nurses — At a Glance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8ab0cf6fbf559e84ad932930af2ab2d05afdae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2026-09-04T20:19:55.043Z</dcterms:created>
  <dcterms:modified xsi:type="dcterms:W3CDTF">2026-09-04T20:19:55.044Z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