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3437"/>
          <w:sz w:val="40"/>
          <w:szCs w:val="40"/>
        </w:rPr>
        <w:t xml:space="preserve">Allergy Nurture Nurses</w:t>
      </w:r>
    </w:p>
    <w:p>
      <w:pPr>
        <w:spacing w:after="220"/>
      </w:pPr>
      <w:r>
        <w:rPr>
          <w:i/>
          <w:iCs/>
          <w:color w:val="52514e"/>
          <w:sz w:val="20"/>
          <w:szCs w:val="20"/>
        </w:rPr>
        <w:t xml:space="preserve">CQC-registered, nurse-led national allergy and asthma advisory service for children, young people and families</w:t>
      </w:r>
    </w:p>
    <w:tbl>
      <w:tblPr>
        <w:tblW w:type="dxa" w:w="9026"/>
        <w:tblBorders>
          <w:top w:val="single" w:color="c3c2b7" w:sz="4"/>
          <w:left w:val="single" w:color="c3c2b7" w:sz="4"/>
          <w:bottom w:val="single" w:color="c3c2b7" w:sz="4"/>
          <w:right w:val="single" w:color="c3c2b7" w:sz="4"/>
          <w:insideH w:val="single" w:color="c3c2b7" w:sz="4"/>
          <w:insideV w:val="single" w:color="c3c2b7" w:sz="4"/>
        </w:tblBorders>
      </w:tblPr>
      <w:tblGrid>
        <w:gridCol w:w="2600"/>
        <w:gridCol w:w="6426"/>
      </w:tblGrid>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Service</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CQC-registered, nurse-led national remote/virtual allergy advisory service for children, young people and families, with occasional Essex-based in-person consultations where required, in a secure, risk-assessed setting.</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Led by</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Catherine Neale, Registered Children's Nurse and Clinical Nurse Specialist — 25+ years' nursing experience, including 7 years in specialist paediatric allergy.</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Core areas</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Non-IgE food allergy, eczema with possible allergic triggers, allergic rhinitis, infant feeding concerns (e.g. reflux, colic, constipation where allergy is suspected), and mild-to-moderate allergic symptoms.</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Purpose</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Timely, evidence-based education, support, safety-netting and signposting for families — complementing existing NHS and community pathways, not replacing them.</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Who may benefit</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Children, young people (0–17) and families with mild-to-moderate suspected or diagnosed allergic conditions who would benefit from a detailed history, education, and advice on elimination/reintroduction and next steps.</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Professional support</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Allergy and asthma awareness training for nurseries, schools and education settings.</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What we do not provide</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Diagnostic allergy testing, prescribing/administration of medicines, or emergency care. Not suitable for known/suspected IgE-mediated food allergy, history of anaphylaxis, or severe/uncontrolled asthma — see Scope of practice.</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Collaboration aim</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To explore how the service may support local families, GP practices, community teams, schools, nurseries and commissioning priorities.</w:t>
            </w:r>
          </w:p>
        </w:tc>
      </w:tr>
      <w:tr>
        <w:tc>
          <w:tcPr>
            <w:tcW w:type="dxa" w:w="26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Accessibility</w:t>
            </w:r>
          </w:p>
        </w:tc>
        <w:tc>
          <w:tcPr>
            <w:tcW w:type="dxa" w:w="64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Compliant with the NHS Accessible Information Standard (DCB1605) and Equality Act 2010 reasonable adjustments — identifying, recording and meeting communication needs, including interpreter services, extra consultation time and written summaries.</w:t>
            </w:r>
          </w:p>
        </w:tc>
      </w:tr>
    </w:tbl>
    <w:p>
      <w:pPr>
        <w:pBdr>
          <w:bottom w:val="single" w:color="D5624C" w:sz="6" w:space="4"/>
        </w:pBdr>
        <w:spacing w:after="100" w:before="260"/>
      </w:pPr>
      <w:r>
        <w:rPr>
          <w:b/>
          <w:bCs/>
          <w:color w:val="0A3437"/>
          <w:sz w:val="24"/>
          <w:szCs w:val="24"/>
        </w:rPr>
        <w:t xml:space="preserve">Why this matters</w:t>
      </w:r>
    </w:p>
    <w:p>
      <w:pPr>
        <w:spacing w:after="160"/>
      </w:pPr>
      <w:r>
        <w:rPr>
          <w:color w:val="52514e"/>
          <w:sz w:val="19"/>
          <w:szCs w:val="19"/>
        </w:rPr>
        <w:t xml:space="preserve">Allergic conditions in children are common, rising, and carry a real safety dimension — early education and timely signposting can reduce risk and pressure on stretched services.</w:t>
      </w:r>
    </w:p>
    <w:p>
      <w:pPr>
        <w:spacing w:after="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10"/>
      </w:tblGrid>
      <w:tr>
        <w:tc>
          <w:tcPr>
            <w:tcW w:type="dxa" w:w="3008"/>
            <w:shd w:fill="F0F7F7" w:color="auto" w:val="clear"/>
            <w:tcMar>
              <w:top w:type="dxa" w:w="160"/>
              <w:left w:type="dxa" w:w="140"/>
              <w:bottom w:type="dxa" w:w="160"/>
              <w:right w:type="dxa" w:w="140"/>
            </w:tcMar>
          </w:tcPr>
          <w:p>
            <w:pPr>
              <w:spacing w:after="40"/>
              <w:jc w:val="center"/>
            </w:pPr>
            <w:r>
              <w:rPr>
                <w:b/>
                <w:bCs/>
                <w:color w:val="199195"/>
                <w:sz w:val="34"/>
                <w:szCs w:val="34"/>
              </w:rPr>
              <w:t xml:space="preserve">348%</w:t>
            </w:r>
          </w:p>
          <w:p>
            <w:pPr>
              <w:jc w:val="center"/>
            </w:pPr>
            <w:r>
              <w:rPr>
                <w:color w:val="52514e"/>
                <w:sz w:val="16"/>
                <w:szCs w:val="16"/>
              </w:rPr>
              <w:t xml:space="preserve">rise in child (5–14) asthma hospital admissions every September vs. August — Asthma + Lung UK</w:t>
            </w:r>
          </w:p>
        </w:tc>
        <w:tc>
          <w:tcPr>
            <w:tcW w:type="dxa" w:w="3008"/>
            <w:shd w:fill="F0F7F7" w:color="auto" w:val="clear"/>
            <w:tcMar>
              <w:top w:type="dxa" w:w="160"/>
              <w:left w:type="dxa" w:w="140"/>
              <w:bottom w:type="dxa" w:w="160"/>
              <w:right w:type="dxa" w:w="140"/>
            </w:tcMar>
          </w:tcPr>
          <w:p>
            <w:pPr>
              <w:spacing w:after="40"/>
              <w:jc w:val="center"/>
            </w:pPr>
            <w:r>
              <w:rPr>
                <w:b/>
                <w:bCs/>
                <w:color w:val="199195"/>
                <w:sz w:val="34"/>
                <w:szCs w:val="34"/>
              </w:rPr>
              <w:t xml:space="preserve">54</w:t>
            </w:r>
          </w:p>
          <w:p>
            <w:pPr>
              <w:jc w:val="center"/>
            </w:pPr>
            <w:r>
              <w:rPr>
                <w:color w:val="52514e"/>
                <w:sz w:val="16"/>
                <w:szCs w:val="16"/>
              </w:rPr>
              <w:t xml:space="preserve">child deaths from asthma, England, Apr 2019–Mar 2023 — NCMD</w:t>
            </w:r>
          </w:p>
        </w:tc>
        <w:tc>
          <w:tcPr>
            <w:tcW w:type="dxa" w:w="3010"/>
            <w:shd w:fill="F0F7F7" w:color="auto" w:val="clear"/>
            <w:tcMar>
              <w:top w:type="dxa" w:w="160"/>
              <w:left w:type="dxa" w:w="140"/>
              <w:bottom w:type="dxa" w:w="160"/>
              <w:right w:type="dxa" w:w="140"/>
            </w:tcMar>
          </w:tcPr>
          <w:p>
            <w:pPr>
              <w:spacing w:after="40"/>
              <w:jc w:val="center"/>
            </w:pPr>
            <w:r>
              <w:rPr>
                <w:b/>
                <w:bCs/>
                <w:color w:val="199195"/>
                <w:sz w:val="34"/>
                <w:szCs w:val="34"/>
              </w:rPr>
              <w:t xml:space="preserve">19</w:t>
            </w:r>
          </w:p>
          <w:p>
            <w:pPr>
              <w:jc w:val="center"/>
            </w:pPr>
            <w:r>
              <w:rPr>
                <w:color w:val="52514e"/>
                <w:sz w:val="16"/>
                <w:szCs w:val="16"/>
              </w:rPr>
              <w:t xml:space="preserve">child deaths from anaphylaxis, same period — NCMD</w:t>
            </w:r>
          </w:p>
        </w:tc>
      </w:tr>
    </w:tbl>
    <w:p>
      <w:pPr>
        <w:pBdr>
          <w:bottom w:val="single" w:color="199195" w:sz="6" w:space="4"/>
        </w:pBdr>
        <w:spacing w:after="100" w:before="260"/>
      </w:pPr>
      <w:r>
        <w:rPr>
          <w:b/>
          <w:bCs/>
          <w:color w:val="0A3437"/>
          <w:sz w:val="24"/>
          <w:szCs w:val="24"/>
        </w:rPr>
        <w:t xml:space="preserve">Scope of practice</w:t>
      </w:r>
    </w:p>
    <w:p>
      <w:pPr>
        <w:spacing w:after="100"/>
      </w:pPr>
      <w:r>
        <w:rPr>
          <w:b/>
          <w:bCs/>
          <w:color w:val="0A3437"/>
          <w:sz w:val="19"/>
          <w:szCs w:val="19"/>
        </w:rPr>
        <w:t xml:space="preserve">Included: </w:t>
      </w:r>
      <w:r>
        <w:rPr>
          <w:sz w:val="19"/>
          <w:szCs w:val="19"/>
        </w:rPr>
        <w:t xml:space="preserve">mild-to-moderate suspected/diagnosed Non-IgE food allergy, suspected food-related symptoms requiring assessment, eczema with possible allergic triggers, infant feeding concerns (e.g. reflux, colic, constipation where allergy is suspected), and allergic rhinitis.</w:t>
      </w:r>
    </w:p>
    <w:p>
      <w:pPr>
        <w:spacing w:after="100"/>
      </w:pPr>
      <w:r>
        <w:rPr>
          <w:b/>
          <w:bCs/>
          <w:color w:val="0A3437"/>
          <w:sz w:val="19"/>
          <w:szCs w:val="19"/>
        </w:rPr>
        <w:t xml:space="preserve">Excluded: </w:t>
      </w:r>
      <w:r>
        <w:rPr>
          <w:sz w:val="19"/>
          <w:szCs w:val="19"/>
        </w:rPr>
        <w:t xml:space="preserve">known/suspected IgE-mediated food allergy requiring specialist medical management, history of anaphylaxis, severe or uncontrolled asthma, significant respiratory compromise, or any presentation requiring diagnostic testing, prescribing, or urgent/emergency care.</w:t>
      </w:r>
    </w:p>
    <w:p>
      <w:pPr>
        <w:spacing w:after="160"/>
      </w:pPr>
      <w:r>
        <w:rPr>
          <w:b/>
          <w:bCs/>
          <w:color w:val="0A3437"/>
          <w:sz w:val="19"/>
          <w:szCs w:val="19"/>
        </w:rPr>
        <w:t xml:space="preserve">Escalation: </w:t>
      </w:r>
      <w:r>
        <w:rPr>
          <w:sz w:val="19"/>
          <w:szCs w:val="19"/>
        </w:rPr>
        <w:t xml:space="preserve">families are directed to 999, NHS 111 or their GP as appropriate. With consent, information may be shared with the GP, health visitor, school nursing team, dietitian or other relevant professionals to support coordinated care.</w:t>
      </w:r>
    </w:p>
    <w:p>
      <w:pPr>
        <w:pBdr>
          <w:bottom w:val="single" w:color="199195" w:sz="6" w:space="4"/>
        </w:pBdr>
        <w:spacing w:after="100" w:before="260"/>
      </w:pPr>
      <w:r>
        <w:rPr>
          <w:b/>
          <w:bCs/>
          <w:color w:val="0A3437"/>
          <w:sz w:val="24"/>
          <w:szCs w:val="24"/>
        </w:rPr>
        <w:t xml:space="preserve">Evidence and standards</w:t>
      </w:r>
    </w:p>
    <w:tbl>
      <w:tblPr>
        <w:tblW w:type="dxa" w:w="9026"/>
        <w:tblBorders>
          <w:top w:val="single" w:color="c3c2b7" w:sz="4"/>
          <w:left w:val="single" w:color="c3c2b7" w:sz="4"/>
          <w:bottom w:val="single" w:color="c3c2b7" w:sz="4"/>
          <w:right w:val="single" w:color="c3c2b7" w:sz="4"/>
          <w:insideH w:val="single" w:color="c3c2b7" w:sz="4"/>
          <w:insideV w:val="single" w:color="c3c2b7" w:sz="4"/>
        </w:tblBorders>
      </w:tblPr>
      <w:tblGrid>
        <w:gridCol w:w="2200"/>
        <w:gridCol w:w="6826"/>
      </w:tblGrid>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Regulation</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Registered with CQC; assessed against whether services are safe, effective, caring, responsive and well-led.</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Professional standards</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Aligned with the NMC Code (2018): prioritise people, practise effectively, preserve safety, promote professionalism and trust.</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Food allergy</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NICE guidance (CG116) supports an allergy-focused clinical history, appropriate assessment and referral/signposting where needed.</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Non-IgE food allergy</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NICE recognises the diagnostic challenge of Non-IgE food allergy and the role of elimination/reintroduction where clinically appropriate.</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Eczema and allergy</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NICE guidance (CG57) recognises food allergy may need consideration in babies/children with atopic eczema in specific circumstances.</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Allergic rhinitis</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BSACI: allergic rhinitis affects 10–15% of UK children and can affect quality of life, school attendance and asthma control.</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Asthma / respiratory risk</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Asthma + Lung UK: child (5–14) asthma hospital admissions rise sharply (348%) every September vs. August.</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Child mortality learning</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NCMD (2019–2023): 54 child deaths from asthma, 19 from anaphylaxis — themes include asthma control, action plans, communication and education.</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Accessibility</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NHS Accessible Information Standard (DCB1605) and Equality Act 2010 reasonable adjustments duty; underpinned by the Health and Social Care Act 2008 (Regulated Activities) Regulations 2014 and CQC Fundamental Standards.</w:t>
            </w:r>
          </w:p>
        </w:tc>
      </w:tr>
      <w:tr>
        <w:tc>
          <w:tcPr>
            <w:tcW w:type="dxa" w:w="2200"/>
            <w:shd w:fill="E3F1F1" w:color="auto" w:val="clear"/>
            <w:tcMar>
              <w:top w:type="dxa" w:w="100"/>
              <w:left w:type="dxa" w:w="120"/>
              <w:bottom w:type="dxa" w:w="100"/>
              <w:right w:type="dxa" w:w="120"/>
            </w:tcMar>
            <w:vAlign w:val="center"/>
          </w:tcPr>
          <w:p>
            <w:pPr>
              <w:jc w:val="left"/>
            </w:pPr>
            <w:r>
              <w:rPr>
                <w:b/>
                <w:bCs/>
                <w:i w:val="false"/>
                <w:iCs w:val="false"/>
                <w:color w:val="0A3437"/>
                <w:sz w:val="19"/>
                <w:szCs w:val="19"/>
              </w:rPr>
              <w:t xml:space="preserve">Consent and capacity</w:t>
            </w:r>
          </w:p>
        </w:tc>
        <w:tc>
          <w:tcPr>
            <w:tcW w:type="dxa" w:w="6826"/>
            <w:tcMar>
              <w:top w:type="dxa" w:w="100"/>
              <w:left w:type="dxa" w:w="120"/>
              <w:bottom w:type="dxa" w:w="100"/>
              <w:right w:type="dxa" w:w="120"/>
            </w:tcMar>
            <w:vAlign w:val="center"/>
          </w:tcPr>
          <w:p>
            <w:pPr>
              <w:jc w:val="left"/>
            </w:pPr>
            <w:r>
              <w:rPr>
                <w:b w:val="false"/>
                <w:bCs w:val="false"/>
                <w:i w:val="false"/>
                <w:iCs w:val="false"/>
                <w:color w:val="0b0b0b"/>
                <w:sz w:val="19"/>
                <w:szCs w:val="19"/>
              </w:rPr>
              <w:t xml:space="preserve">Consent obtained per the service's Consent Policy; capacity assessed using the Mental Capacity Act 2005 and Gillick competency principles.</w:t>
            </w:r>
          </w:p>
        </w:tc>
      </w:tr>
    </w:tbl>
    <w:sectPr>
      <w:headerReference w:type="default" r:id="rId7"/>
      <w:footerReference w:type="default" r:id="rId8"/>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2b7" w:sz="4" w:space="6"/>
      </w:pBdr>
    </w:pPr>
    <w:r>
      <w:rPr>
        <w:color w:val="52514e"/>
        <w:sz w:val="16"/>
        <w:szCs w:val="16"/>
      </w:rPr>
      <w:t xml:space="preserve">catherine@allergynurturenurses.co.uk  •  www.allergynurturenurses.co.uk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2b7" w:sz="4" w:space="6"/>
      </w:pBdr>
    </w:pPr>
    <w:r>
      <w:rPr>
        <w:color w:val="52514e"/>
        <w:sz w:val="16"/>
        <w:szCs w:val="16"/>
      </w:rPr>
      <w:t xml:space="preserve">Allergy Nurture Nurses — At a Glance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eb6ff6ecc9ed6290d8f2d94740f7c148966f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2026-09-05T15:23:53.218Z</dcterms:created>
  <dcterms:modified xsi:type="dcterms:W3CDTF">2026-09-05T15:23:53.232Z</dcterms:modified>
</cp:coreProperties>
</file>

<file path=docProps/custom.xml><?xml version="1.0" encoding="utf-8"?>
<Properties xmlns="http://schemas.openxmlformats.org/officeDocument/2006/custom-properties" xmlns:vt="http://schemas.openxmlformats.org/officeDocument/2006/docPropsVTypes"/>
</file>