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Material Inward Management System</w:t>
      </w:r>
    </w:p>
    <w:p>
      <w:pPr>
        <w:pStyle w:val="Heading2"/>
        <w:spacing w:after="300"/>
      </w:pPr>
      <w:r>
        <w:t xml:space="preserve">Engineering Standards &amp; Deployment Capsule</w:t>
      </w:r>
    </w:p>
    <w:p>
      <w:pPr>
        <w:spacing w:after="120"/>
      </w:pPr>
      <w:r>
        <w:t xml:space="preserve">A working reference of the conventions this build follows, captured from the fixes and decisions made while hardening the system for go-live. Intended for anyone maintaining or extending MIMS after handover.</w:t>
      </w:r>
    </w:p>
    <w:p>
      <w:pPr>
        <w:pStyle w:val="Heading1"/>
        <w:spacing w:after="150" w:before="300"/>
      </w:pPr>
      <w:r>
        <w:t xml:space="preserve">1. Error Handling &amp; Resilience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 non-fatal, log loudly. </w:t>
      </w:r>
      <w:r>
        <w:t xml:space="preserve">Shared-resource operations (robot lock acquire/release, driver-cache checks) never raise into the caller on failure — they log a warning and let the run continue. A coordination mechanism failing should not block a business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Distinguish transient vs. terminal errors. </w:t>
      </w:r>
      <w:r>
        <w:t xml:space="preserve">A bot crash (Selenium/driver exception) is retried with a capped attempt count and a cooldown between attempts. A deterministic result from an external system (e.g. “GSTIN rejected by portal”) is treated as final after one attempt — retrying a correct answer wastes time and hammers third-party portals for no benefit.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 every auto-retry loop. </w:t>
      </w:r>
      <w:r>
        <w:t xml:space="preserve">Any polling endpoint that can trigger background work (e.g. a status-poll route) must not re-trigger unconditionally on every hit. Track attempt count and last-attempt time per record; stop after a fixed ceiling and require an explicit manual action (“Re-run”) to try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Self-healing over manual fixes. </w:t>
      </w:r>
      <w:r>
        <w:t xml:space="preserve">Where a known class of failure can be detected in code (e.g. mismatched browser/driver versions), the fix clears the bad state automatically and logs what it did, instead of relying on a person to notice and intervene.</w:t>
      </w:r>
    </w:p>
    <w:p>
      <w:pPr>
        <w:pStyle w:val="Heading1"/>
        <w:spacing w:after="150" w:before="300"/>
      </w:pPr>
      <w:r>
        <w:t xml:space="preserve">2. Concurrency &amp; Shared Desktop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interactive desktop, one automation at a time. </w:t>
      </w:r>
      <w:r>
        <w:t xml:space="preserve">SAP GUI and browser-based bots share the same Windows desktop session across two separate applications (Material Inward and Password Reset). A file-based lock (robot.lock) serializes access — whichever side holds it runs; the other waits or yields.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 is explicit, not assumed. </w:t>
      </w:r>
      <w:r>
        <w:t xml:space="preserve">Material Inward has priority over Password Reset for shared desktop access; this is enforced in code (wait-then-override logic) rather than left to timing chance.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Stale locks self-clear. </w:t>
      </w:r>
      <w:r>
        <w:t xml:space="preserve">A lock older than a fixed ceiling (20 minutes) is treated as an abandoned/crashed holder and cleared automatically by whichever side next needs it — no manual file deletion required during normal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Atomic check-and-register. </w:t>
      </w:r>
      <w:r>
        <w:t xml:space="preserve">Any “is this already running / should I start” decision is made under a single lock acquisition. Splitting the check and the registration across two separate lock acquisitions creates a race window where two callers can both proceed and double-launch automation.</w:t>
      </w:r>
    </w:p>
    <w:p>
      <w:pPr>
        <w:pStyle w:val="Heading1"/>
        <w:spacing w:after="150" w:before="300"/>
      </w:pPr>
      <w:r>
        <w:t xml:space="preserve">3. Configuration &amp;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credentials live in .env, never hardcoded. </w:t>
      </w:r>
      <w:r>
        <w:t xml:space="preserve">SAP client/user/password/connection name are loaded from environment at runtime for all production robot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Standalone test scripts are the one exception. </w:t>
      </w:r>
      <w:r>
        <w:t xml:space="preserve">Throwaway test scripts written for a specific one-off diagnostic may hardcode dummy credentials/data by explicit request, but must be clearly labeled as standalone test files, kept out of the production robot_scripts flow, and never pointed at a production SAP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Least privilege for process execution. </w:t>
      </w:r>
      <w:r>
        <w:t xml:space="preserve">Application processes (Flask server, robot runner) should run under a normal user account, not “Run as Administrator.” Elevated runs can leave files/folders with restrictive ACLs that a normal-privilege process can't later delete — this caused a real stuck-lock incident and was fixed by removing the affected folder and no longer elevating either app.</w:t>
      </w:r>
    </w:p>
    <w:p>
      <w:pPr>
        <w:pStyle w:val="Heading1"/>
        <w:spacing w:after="150" w:before="300"/>
      </w:pPr>
      <w:r>
        <w:t xml:space="preserve">4. Data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transactional table cascades from one parent. </w:t>
      </w:r>
      <w:r>
        <w:t xml:space="preserve">history is the root record; invoice/e-way/LR/gate-in/MIGO/MIRO/GST/queue/PO-line data all reference it with ON DELETE CASCADE, so cleanup and go-live resets are a single statement rather than a manual table-by-table exercise.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Master/config data is never touched by cleanup. </w:t>
      </w:r>
      <w:r>
        <w:t xml:space="preserve">users, storage_locations, and vehicle_master are excluded from any bulk clear — these are configuration, not transaction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 up before destructive operations. </w:t>
      </w:r>
      <w:r>
        <w:t xml:space="preserve">A pg_dump snapshot is taken before any full-table truncate, migration, or schema change against the production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Orphaned intake files self-clean. </w:t>
      </w:r>
      <w:r>
        <w:t xml:space="preserve">Incomplete document groups in the intake folder that never receive all required files are automatically moved out after 60 days rather than accumulating indefinitely.</w:t>
      </w:r>
    </w:p>
    <w:p>
      <w:pPr>
        <w:pStyle w:val="Heading1"/>
        <w:spacing w:after="150" w:before="300"/>
      </w:pPr>
      <w:r>
        <w:t xml:space="preserve">5. Document Intake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Folder-drop, not email, is the active intake method. </w:t>
      </w:r>
      <w:r>
        <w:t xml:space="preserve">Files are watched in a shared network folder (Z:\incoming), classified by filename keyword (invoice / eway / lr), and grouped by a shared filename prefix. All three documents for one delivery must be present before OCR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Stability window before processing. </w:t>
      </w:r>
      <w:r>
        <w:t xml:space="preserve">A file must be unmodified for 30 seconds before the watcher touches it, to avoid grabbing a file mid-copy from the network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Legacy paths are labeled, not deleted. </w:t>
      </w:r>
      <w:r>
        <w:t xml:space="preserve">An earlier email-based intake path still exists in the codebase (disabled via configuration) rather than being removed outright, preserving the option to switch back without a rebuild — but architecture documentation must reflect the method actually in use, not the legacy option.</w:t>
      </w:r>
    </w:p>
    <w:p>
      <w:pPr>
        <w:pStyle w:val="Heading1"/>
        <w:spacing w:after="150" w:before="300"/>
      </w:pPr>
      <w:r>
        <w:t xml:space="preserve">6. Testing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Standalone scenario tests live alongside, not inside, production automation. </w:t>
      </w:r>
      <w:r>
        <w:t xml:space="preserve">Test scripts that exercise edge cases (e.g. empty-field combinations a live form can actually produce) are separate files against a non-production SAP system, sharing the same field-cleaning logic as production so results are representative.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what the UI can actually send, not just theoretical extremes. </w:t>
      </w:r>
      <w:r>
        <w:t xml:space="preserve">Scenarios are derived from the real client-side logic (which fields a given delivery type actually blanks), not guessed at generically.</w:t>
      </w:r>
    </w:p>
    <w:p>
      <w:pPr>
        <w:pStyle w:val="Heading1"/>
        <w:spacing w:after="150" w:before="300"/>
      </w:pPr>
      <w:r>
        <w:t xml:space="preserve">7. Deployment &amp; Process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Startup scripts assume a real restart clears state. </w:t>
      </w:r>
      <w:r>
        <w:t xml:space="preserve">Any code change to a running Python service requires the process to fully exit and relaunch — an auto-restart loop that only triggers on a hard process crash will not pick up a fix for an error that the code itself catches and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Pre-flight checks fail loud, not silent. </w:t>
      </w:r>
      <w:r>
        <w:t xml:space="preserve">The startup script checks NAS drive mapping, DB service, port availability, and reverse proxy status before launching the app, logging warnings for anything not ready rather than assuming success.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 web server, not the framework's dev server. </w:t>
      </w:r>
      <w:r>
        <w:t xml:space="preserve">The Flask app is served through Waitress (multi-threaded WSGI) rather than app.run(), which is not intended for concurrent production traffic.</w:t>
      </w:r>
    </w:p>
    <w:p>
      <w:pPr>
        <w:pStyle w:val="Heading1"/>
        <w:spacing w:after="150" w:before="300"/>
      </w:pPr>
      <w:r>
        <w:t xml:space="preserve">8. Server Capacity Assessment</w:t>
      </w:r>
    </w:p>
    <w:p>
      <w:pPr>
        <w:spacing w:after="120"/>
      </w:pPr>
      <w:r>
        <w:t xml:space="preserve">Current hardware: 6 CPU cores, 32 GB RAM, 512 GB storage, hosting Material Inward alongside existing processes, for roughly 20 total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C2F4A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shd w:fill="1C2F4A" w:val="clear"/>
          </w:tcPr>
          <w:p>
            <w:r>
              <w:rPr>
                <w:b/>
                <w:bCs/>
                <w:color w:val="FFFFFF"/>
              </w:rPr>
              <w:t xml:space="preserve">Typical footprint</w:t>
            </w:r>
          </w:p>
        </w:tc>
        <w:tc>
          <w:tcPr>
            <w:tcW w:type="dxa" w:w="3120"/>
            <w:shd w:fill="1C2F4A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Flask app + Waitress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~150–300 MB RAM, negligible CPU idle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8 worker threads comfortably covers 20 users' page loads and 5s status polling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&lt; 1 GB working set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55 invoices/day is a trivial write volume; fits in OS page cache easily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Nginx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~20–50 MB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Reverse proxy only, negligible load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SAP GUI session (per bot run)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~250–500 MB, moderate CPU burst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Only one active at a time — serialized by robot_lock across both apps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Browser bot (GST checks)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~300–800 MB per instance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Sequential, not concurrent — one bot quits before the next starts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Storage (PDFs, screenshots, logs)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Low single-digit GB/month at current volume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</w:rPr>
              <w:t xml:space="preserve">512 GB gives years of headroom even without cleanup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Verdict: 6 cores / 32 GB / 512 GB is comfortably sufficient for this workload at 20 users. The design already serializes the one genuinely heavy activity (desktop automation against SAP and browser-based GST checks) through the file lock, so the system never actually asks the machine to run multiple SAP GUI sessions or multiple non-headless browsers at once — the bottleneck is real-world screen navigation and captcha-retry time, not CPU, RAM, or disk. More hardware would not make Gate-In-to-MIRO faster, because that path is inherently one-at-a-time by design, not compute-bound.</w:t>
      </w:r>
    </w:p>
    <w:p>
      <w:pPr>
        <w:spacing w:after="120"/>
      </w:pPr>
      <w:r>
        <w:rPr>
          <w:i/>
          <w:iCs/>
        </w:rPr>
        <w:t xml:space="preserve">Practical monitoring recommendation for the first few weeks live: watch Task Manager / Resource Monitor during the morning gate-in rush (highest concurrent bot + user activity), and separately watch network latency to the SAP application server and the GST portals — those two are the actual speed determinants for end-to-end processing time, not local hardware.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2026-07-14T07:18:13.917Z</dcterms:created>
  <dcterms:modified xsi:type="dcterms:W3CDTF">2026-07-14T07:18:13.919Z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