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56"/>
          <w:szCs w:val="56"/>
        </w:rPr>
        <w:t xml:space="preserve">Yonca LMS Rework</w:t>
      </w:r>
    </w:p>
    <w:p>
      <w:pPr>
        <w:spacing w:after="40"/>
      </w:pPr>
      <w:r>
        <w:rPr>
          <w:color w:val="666666"/>
          <w:sz w:val="28"/>
          <w:szCs w:val="28"/>
        </w:rPr>
        <w:t xml:space="preserve">Planning Document — Draft v2</w:t>
      </w:r>
    </w:p>
    <w:p>
      <w:pPr>
        <w:spacing w:after="300"/>
      </w:pPr>
      <w:r>
        <w:rPr>
          <w:i/>
          <w:iCs/>
          <w:color w:val="666666"/>
          <w:sz w:val="22"/>
          <w:szCs w:val="22"/>
        </w:rPr>
        <w:t xml:space="preserve">Prepared by Magsud · July 2026</w:t>
      </w:r>
    </w:p>
    <w:p>
      <w:pPr>
        <w:pBdr>
          <w:bottom w:val="single" w:color="CCCCCC" w:sz="6" w:space="1"/>
        </w:pBdr>
        <w:spacing w:after="240"/>
      </w:pPr>
    </w:p>
    <w:p>
      <w:pPr>
        <w:pStyle w:val="Heading1"/>
        <w:spacing w:after="200" w:before="400"/>
      </w:pPr>
      <w:r>
        <w:t xml:space="preserve">1. Overview</w:t>
      </w:r>
    </w:p>
    <w:p>
      <w:pPr>
        <w:spacing w:after="160"/>
      </w:pPr>
      <w:r>
        <w:t xml:space="preserve">Yonca started as a working LMS (Flask + PostgreSQL, deployed on a VPS with Docker and Caddy) built and run under a rushed timeline. Development stopped due to a bad working environment. This document scopes a rework of the platform into a new, independent product with a designer friend, positioned as a portfolio piece rather than a commercial launch — no real user base to serve yet, which frees the plan to prioritize technical ambition, design quality, and security correctness over short-term commercial constraints.</w:t>
      </w:r>
    </w:p>
    <w:p>
      <w:pPr>
        <w:spacing w:after="160"/>
      </w:pPr>
      <w:r>
        <w:t xml:space="preserve">Positioning: Google Classroom (structure, assignments, communication) + Coursera (structured courses, certificates) + an AI content layer inspired by NotebookLM (a personal study guide grounded in course material, auto-generated subtitles, and audio overviews).</w:t>
      </w:r>
    </w:p>
    <w:p>
      <w:pPr>
        <w:spacing w:after="160"/>
      </w:pPr>
      <w:r>
        <w:t xml:space="preserve">For v1, the public-facing surface is deliberately narrowed to four pages — Home, Course, Resources, and Forum — with development effort concentrated on Course. Marketing-oriented pages from the original build (About Company, Gallery, Contact Us) are dropped for now, along with the admin tooling that exists solely to manage them. Everything else scoped below — quizzes, certificates, the AI layer, security hardening, the Drive worker, the translation pipeline — still applies; it now lives inside these four pages and the admin panel rather than as separate top-level destinations.</w:t>
      </w:r>
    </w:p>
    <w:p>
      <w:pPr>
        <w:spacing w:after="160"/>
      </w:pPr>
      <w:r>
        <w:t xml:space="preserve">Much of the underlying backbone already exists in the original codebase and is being reused, not rebuilt: course structure and enrollment, content hierarchy with Drive-backed files, certificate generation and caching, assignment submission/grading, and a working (if imperfect) translation pipeline.</w:t>
      </w:r>
    </w:p>
    <w:p>
      <w:pPr>
        <w:pStyle w:val="Heading1"/>
        <w:spacing w:after="200" w:before="400"/>
      </w:pPr>
      <w:r>
        <w:t xml:space="preserve">2. Site structure (v1)</w:t>
      </w:r>
    </w:p>
    <w:p>
      <w:pPr>
        <w:spacing w:after="160"/>
      </w:pPr>
      <w:r>
        <w:t xml:space="preserve">Two ideas run underneath all four pages: an open-source visibility flag that a course, resource, or forum thread's owner can set to make it visible to any user rather than only enrolled students, and multiple paths into a course rather than a single enrollment flow.</w:t>
      </w:r>
    </w:p>
    <w:p>
      <w:pPr>
        <w:pStyle w:val="Heading2"/>
        <w:spacing w:after="120" w:before="280"/>
      </w:pPr>
      <w:r>
        <w:t xml:space="preserve">2.1 Home</w:t>
      </w:r>
    </w:p>
    <w:p>
      <w:pPr>
        <w:spacing w:after="160"/>
      </w:pPr>
      <w:r>
        <w:t xml:space="preserve">Course recommendations/suggestions, a way to join a course via promo code, and an overview of the user's recent activity across their courses.</w:t>
      </w:r>
    </w:p>
    <w:p>
      <w:pPr>
        <w:pStyle w:val="Heading2"/>
        <w:spacing w:after="120" w:before="280"/>
      </w:pPr>
      <w:r>
        <w:t xml:space="preserve">2.2 Course</w:t>
      </w:r>
    </w:p>
    <w:p>
      <w:pPr>
        <w:spacing w:after="160"/>
      </w:pPr>
      <w:r>
        <w:t xml:space="preserve">The primary focus of this rework — content delivery, quizzes, certificates, the AI personal guide, subtitles, and the audio overview (detailed in Section 4). A course can be joined through several non-exclusive paths:</w:t>
      </w:r>
    </w:p>
    <w:p>
      <w:pPr>
        <w:pStyle w:val="ListParagraph"/>
        <w:numPr>
          <w:ilvl w:val="0"/>
          <w:numId w:val="2"/>
        </w:numPr>
        <w:spacing w:after="80"/>
      </w:pPr>
      <w:r>
        <w:t xml:space="preserve">Promo code, issued by an admin or teacher</w:t>
      </w:r>
    </w:p>
    <w:p>
      <w:pPr>
        <w:pStyle w:val="ListParagraph"/>
        <w:numPr>
          <w:ilvl w:val="0"/>
          <w:numId w:val="2"/>
        </w:numPr>
        <w:spacing w:after="80"/>
      </w:pPr>
      <w:r>
        <w:t xml:space="preserve">Direct link</w:t>
      </w:r>
    </w:p>
    <w:p>
      <w:pPr>
        <w:pStyle w:val="ListParagraph"/>
        <w:numPr>
          <w:ilvl w:val="0"/>
          <w:numId w:val="2"/>
        </w:numPr>
        <w:spacing w:after="80"/>
      </w:pPr>
      <w:r>
        <w:t xml:space="preserve">Added directly by a teacher or admin</w:t>
      </w:r>
    </w:p>
    <w:p>
      <w:pPr>
        <w:pStyle w:val="ListParagraph"/>
        <w:numPr>
          <w:ilvl w:val="0"/>
          <w:numId w:val="2"/>
        </w:numPr>
        <w:spacing w:after="80"/>
      </w:pPr>
      <w:r>
        <w:t xml:space="preserve">Paid enrollment (future feature, not part of v1)</w:t>
      </w:r>
    </w:p>
    <w:p>
      <w:pPr>
        <w:pStyle w:val="ListParagraph"/>
        <w:numPr>
          <w:ilvl w:val="0"/>
          <w:numId w:val="2"/>
        </w:numPr>
        <w:spacing w:after="80"/>
      </w:pPr>
      <w:r>
        <w:t xml:space="preserve">Instant join if the course is marked open-source (public)</w:t>
      </w:r>
    </w:p>
    <w:p>
      <w:pPr>
        <w:pStyle w:val="Heading2"/>
        <w:spacing w:after="120" w:before="280"/>
      </w:pPr>
      <w:r>
        <w:t xml:space="preserve">2.3 Resources</w:t>
      </w:r>
    </w:p>
    <w:p>
      <w:pPr>
        <w:spacing w:after="160"/>
      </w:pPr>
      <w:r>
        <w:t xml:space="preserve">Resources pulled from the user's own enrolled courses, plus any resource its owner has explicitly marked open-source. This is a visibility flag set within the platform, not content aggregated from outside sources.</w:t>
      </w:r>
    </w:p>
    <w:p>
      <w:pPr>
        <w:pStyle w:val="Heading2"/>
        <w:spacing w:after="120" w:before="280"/>
      </w:pPr>
      <w:r>
        <w:t xml:space="preserve">2.4 Forum</w:t>
      </w:r>
    </w:p>
    <w:p>
      <w:pPr>
        <w:spacing w:after="160"/>
      </w:pPr>
      <w:r>
        <w:t xml:space="preserve">Forum threads from the user's own course forums, plus threads attached to courses marked open-source.</w:t>
      </w:r>
    </w:p>
    <w:p>
      <w:pPr>
        <w:pStyle w:val="Heading1"/>
        <w:spacing w:after="200" w:before="400"/>
      </w:pPr>
      <w:r>
        <w:t xml:space="preserve">3. Scope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cantSplit/>
          <w:tblHeader/>
        </w:trPr>
        <w:tc>
          <w:tcPr>
            <w:tcW w:type="dxa" w:w="2600"/>
            <w:shd w:fill="1F4E5F" w:val="clear"/>
            <w:tcMar>
              <w:top w:type="dxa" w:w="100"/>
              <w:left w:type="dxa" w:w="120"/>
              <w:bottom w:type="dxa" w:w="100"/>
              <w:right w:type="dxa" w:w="120"/>
            </w:tcMar>
          </w:tcPr>
          <w:p>
            <w:pPr>
              <w:jc w:val="left"/>
            </w:pPr>
            <w:r>
              <w:rPr>
                <w:b/>
                <w:bCs/>
              </w:rPr>
              <w:t xml:space="preserve">Status</w:t>
            </w:r>
          </w:p>
        </w:tc>
        <w:tc>
          <w:tcPr>
            <w:tcW w:type="dxa" w:w="6600"/>
            <w:shd w:fill="1F4E5F" w:val="clear"/>
            <w:tcMar>
              <w:top w:type="dxa" w:w="100"/>
              <w:left w:type="dxa" w:w="120"/>
              <w:bottom w:type="dxa" w:w="100"/>
              <w:right w:type="dxa" w:w="120"/>
            </w:tcMar>
          </w:tcPr>
          <w:p>
            <w:pPr>
              <w:jc w:val="left"/>
            </w:pPr>
            <w:r>
              <w:rPr>
                <w:b/>
                <w:bCs/>
              </w:rPr>
              <w:t xml:space="preserve">Items</w:t>
            </w:r>
          </w:p>
        </w:tc>
      </w:tr>
      <w:tr>
        <w:trPr>
          <w:cantSplit/>
        </w:trPr>
        <w:tc>
          <w:tcPr>
            <w:tcW w:type="dxa" w:w="2600"/>
            <w:shd w:fill="EAF1F3" w:val="clear"/>
            <w:tcMar>
              <w:top w:type="dxa" w:w="100"/>
              <w:left w:type="dxa" w:w="120"/>
              <w:bottom w:type="dxa" w:w="100"/>
              <w:right w:type="dxa" w:w="120"/>
            </w:tcMar>
          </w:tcPr>
          <w:p>
            <w:pPr>
              <w:jc w:val="left"/>
            </w:pPr>
            <w:r>
              <w:rPr>
                <w:b w:val="false"/>
                <w:bCs w:val="false"/>
              </w:rPr>
              <w:t xml:space="preserve">Core (v1)</w:t>
            </w:r>
          </w:p>
        </w:tc>
        <w:tc>
          <w:tcPr>
            <w:tcW w:type="dxa" w:w="6600"/>
            <w:shd w:fill="EAF1F3" w:val="clear"/>
            <w:tcMar>
              <w:top w:type="dxa" w:w="100"/>
              <w:left w:type="dxa" w:w="120"/>
              <w:bottom w:type="dxa" w:w="100"/>
              <w:right w:type="dxa" w:w="120"/>
            </w:tcMar>
          </w:tcPr>
          <w:p>
            <w:pPr>
              <w:jc w:val="left"/>
            </w:pPr>
            <w:r>
              <w:rPr>
                <w:b w:val="false"/>
                <w:bCs w:val="false"/>
              </w:rPr>
              <w:t xml:space="preserve">Home, Course, Resources, Forum pages; quizzes, certificates, AI personal guide, subtitles, AI audio overview, Office file preview, promo-code / open-source access model, Drive worker migration, translation pipeline rework, security hardening, admin panel (trimmed + reworked)</w:t>
            </w:r>
          </w:p>
        </w:tc>
      </w:tr>
      <w:tr>
        <w:trPr>
          <w:cantSplit/>
        </w:trPr>
        <w:tc>
          <w:tcPr>
            <w:tcW w:type="dxa" w:w="2600"/>
            <w:tcMar>
              <w:top w:type="dxa" w:w="100"/>
              <w:left w:type="dxa" w:w="120"/>
              <w:bottom w:type="dxa" w:w="100"/>
              <w:right w:type="dxa" w:w="120"/>
            </w:tcMar>
          </w:tcPr>
          <w:p>
            <w:pPr>
              <w:jc w:val="left"/>
            </w:pPr>
            <w:r>
              <w:rPr>
                <w:b w:val="false"/>
                <w:bCs w:val="false"/>
              </w:rPr>
              <w:t xml:space="preserve">Removed for now</w:t>
            </w:r>
          </w:p>
        </w:tc>
        <w:tc>
          <w:tcPr>
            <w:tcW w:type="dxa" w:w="6600"/>
            <w:tcMar>
              <w:top w:type="dxa" w:w="100"/>
              <w:left w:type="dxa" w:w="120"/>
              <w:bottom w:type="dxa" w:w="100"/>
              <w:right w:type="dxa" w:w="120"/>
            </w:tcMar>
          </w:tcPr>
          <w:p>
            <w:pPr>
              <w:jc w:val="left"/>
            </w:pPr>
            <w:r>
              <w:rPr>
                <w:b w:val="false"/>
                <w:bCs w:val="false"/>
              </w:rPr>
              <w:t xml:space="preserve">About Company page, Gallery, Contact Us page, and the admin screens that exist only to manage them</w:t>
            </w:r>
          </w:p>
        </w:tc>
      </w:tr>
      <w:tr>
        <w:trPr>
          <w:cantSplit/>
        </w:trPr>
        <w:tc>
          <w:tcPr>
            <w:tcW w:type="dxa" w:w="2600"/>
            <w:shd w:fill="EAF1F3" w:val="clear"/>
            <w:tcMar>
              <w:top w:type="dxa" w:w="100"/>
              <w:left w:type="dxa" w:w="120"/>
              <w:bottom w:type="dxa" w:w="100"/>
              <w:right w:type="dxa" w:w="120"/>
            </w:tcMar>
          </w:tcPr>
          <w:p>
            <w:pPr>
              <w:jc w:val="left"/>
            </w:pPr>
            <w:r>
              <w:rPr>
                <w:b w:val="false"/>
                <w:bCs w:val="false"/>
              </w:rPr>
              <w:t xml:space="preserve">Deferred / stretch</w:t>
            </w:r>
          </w:p>
        </w:tc>
        <w:tc>
          <w:tcPr>
            <w:tcW w:type="dxa" w:w="6600"/>
            <w:shd w:fill="EAF1F3" w:val="clear"/>
            <w:tcMar>
              <w:top w:type="dxa" w:w="100"/>
              <w:left w:type="dxa" w:w="120"/>
              <w:bottom w:type="dxa" w:w="100"/>
              <w:right w:type="dxa" w:w="120"/>
            </w:tcMar>
          </w:tcPr>
          <w:p>
            <w:pPr>
              <w:jc w:val="left"/>
            </w:pPr>
            <w:r>
              <w:rPr>
                <w:b w:val="false"/>
                <w:bCs w:val="false"/>
              </w:rPr>
              <w:t xml:space="preserve">Online meetings (Jitsi), AI grading, AI-generated quizzes, AI course recommendations, paid course enrollment</w:t>
            </w:r>
          </w:p>
        </w:tc>
      </w:tr>
    </w:tbl>
    <w:p>
      <w:pPr>
        <w:pStyle w:val="Heading1"/>
        <w:spacing w:after="200" w:before="400"/>
      </w:pPr>
      <w:r>
        <w:t xml:space="preserve">4. Core rework</w:t>
      </w:r>
    </w:p>
    <w:p>
      <w:pPr>
        <w:pStyle w:val="Heading2"/>
        <w:spacing w:after="120" w:before="280"/>
      </w:pPr>
      <w:r>
        <w:t xml:space="preserve">4.1 Course content &amp; UX</w:t>
      </w:r>
    </w:p>
    <w:p>
      <w:pPr>
        <w:spacing w:after="160"/>
      </w:pPr>
      <w:r>
        <w:t xml:space="preserve">Reuse the existing backend (courses, content hierarchy, folder locking behind assignments). The rework here is primarily UI/UX: a proper design system with the designer, and fixing the recurring navigation friction visible in the original build — the navbar/footer repeatedly went missing from the enrolled course view, login redirects broke from inside a course, and language selection didn't persist across pages. “Intuitive” is treated as an explicit design goal, not just a visual refresh.</w:t>
      </w:r>
    </w:p>
    <w:p>
      <w:pPr>
        <w:pStyle w:val="Heading2"/>
        <w:spacing w:after="120" w:before="280"/>
      </w:pPr>
      <w:r>
        <w:t xml:space="preserve">4.2 Quizzes &amp; assignments</w:t>
      </w:r>
    </w:p>
    <w:p>
      <w:pPr>
        <w:spacing w:after="160"/>
      </w:pPr>
      <w:r>
        <w:t xml:space="preserve">Assignments already exist (submission, grading, decline-with-reason, deadlines). Quizzes are new: multiple choice, true/false, and short-answer question types, attempt limits, timers, and auto-grading where possible. Quizzes and assignments should share the same completion-gating mechanism already used to lock folders behind prerequisite work.</w:t>
      </w:r>
    </w:p>
    <w:p>
      <w:pPr>
        <w:pStyle w:val="Heading2"/>
        <w:spacing w:after="120" w:before="280"/>
      </w:pPr>
      <w:r>
        <w:t xml:space="preserve">4.3 Certificates</w:t>
      </w:r>
    </w:p>
    <w:p>
      <w:pPr>
        <w:spacing w:after="160"/>
      </w:pPr>
      <w:r>
        <w:t xml:space="preserve">Already fully built — templates, per-course tuning config, PNG/PDF caching, certificate wall. No functional rework needed; restyle to match the new design system only.</w:t>
      </w:r>
    </w:p>
    <w:p>
      <w:pPr>
        <w:pStyle w:val="Heading2"/>
        <w:spacing w:after="120" w:before="280"/>
      </w:pPr>
      <w:r>
        <w:t xml:space="preserve">4.4 AI personal guide</w:t>
      </w:r>
    </w:p>
    <w:p>
      <w:pPr>
        <w:spacing w:after="160"/>
      </w:pPr>
      <w:r>
        <w:t xml:space="preserve">The centerpiece differentiator. A retrieval-augmented setup: course material (documents, transcripts) is chunked and embedded, and student questions are answered using only the retrieved course content, with citations back to the source file. Use the pgvector extension on the existing PostgreSQL database instead of standing up a separate vector database — one less moving part to host and pay for.</w:t>
      </w:r>
    </w:p>
    <w:p>
      <w:pPr>
        <w:pStyle w:val="Heading2"/>
        <w:spacing w:after="120" w:before="280"/>
      </w:pPr>
      <w:r>
        <w:t xml:space="preserve">4.5 Subtitles / transcription</w:t>
      </w:r>
    </w:p>
    <w:p>
      <w:pPr>
        <w:spacing w:after="160"/>
      </w:pPr>
      <w:r>
        <w:t xml:space="preserve">Auto-transcribe uploaded lecture videos. Beyond accessibility, the transcript becomes ingestible text for the AI guide, so lecture videos become searchable and askable, not just watchable.</w:t>
      </w:r>
    </w:p>
    <w:p>
      <w:pPr>
        <w:pStyle w:val="Heading2"/>
        <w:spacing w:after="120" w:before="280"/>
      </w:pPr>
      <w:r>
        <w:t xml:space="preserve">4.6 AI audio overview</w:t>
      </w:r>
    </w:p>
    <w:p>
      <w:pPr>
        <w:spacing w:after="160"/>
      </w:pPr>
      <w:r>
        <w:t xml:space="preserve">A generated spoken summary of a course or document (NotebookLM-style “audio overview”), built on the same summarization pipeline as the personal guide plus a text-to-speech step. A single-narrator version is straightforward; a two-host conversational format is a nicer touch but a meaningfully bigger lift — worth attempting once the single-narrator version works, not before.</w:t>
      </w:r>
    </w:p>
    <w:p>
      <w:pPr>
        <w:pStyle w:val="Heading2"/>
        <w:spacing w:after="120" w:before="280"/>
      </w:pPr>
      <w:r>
        <w:t xml:space="preserve">4.7 Office file support</w:t>
      </w:r>
    </w:p>
    <w:p>
      <w:pPr>
        <w:spacing w:after="160"/>
      </w:pPr>
      <w:r>
        <w:t xml:space="preserve">Word and Excel preview alongside the existing PDF/video/image preview in course content. Simplest approach: convert to PDF on upload for a view-only preview. Live in-browser editing (e.g. via ONLYOFFICE/Collabora) is a real option but a much bigger operational lift, and not necessary for a first version.</w:t>
      </w:r>
    </w:p>
    <w:p>
      <w:pPr>
        <w:pStyle w:val="Heading2"/>
        <w:spacing w:after="120" w:before="280"/>
      </w:pPr>
      <w:r>
        <w:t xml:space="preserve">4.8 Access &amp; enrollment model</w:t>
      </w:r>
    </w:p>
    <w:p>
      <w:pPr>
        <w:spacing w:after="160"/>
      </w:pPr>
      <w:r>
        <w:t xml:space="preserve">Backs the Course join paths described in Section 2.2, and shares its open-source flag with Resources and Forum. Needs: promo code generation and redemption tied to a specific course (issued by admin/teacher, single- or multi-use), link-based join, direct add by teacher/admin, an open-source/public flag on courses (and independently on individual resources and forum threads), and a stub for future paid enrollment so the data model doesn't need reworking when payments are added later.</w:t>
      </w:r>
    </w:p>
    <w:p>
      <w:pPr>
        <w:pStyle w:val="Heading2"/>
        <w:spacing w:after="120" w:before="280"/>
      </w:pPr>
      <w:r>
        <w:t xml:space="preserve">4.9 Google Drive: worker account, not personal accounts</w:t>
      </w:r>
    </w:p>
    <w:p>
      <w:pPr>
        <w:spacing w:after="160"/>
      </w:pPr>
      <w:r>
        <w:t xml:space="preserve">Replace the current per-admin, OAuth-bound Google Drive integration with a single dedicated account that owns and manages all files centrally — removing the fragility of tying course content to any one person's personal Google account.</w:t>
      </w:r>
    </w:p>
    <w:p>
      <w:pPr>
        <w:spacing w:after="160"/>
      </w:pPr>
      <w:r>
        <w:t xml:space="preserve">Recommended rollout:</w:t>
      </w:r>
    </w:p>
    <w:p>
      <w:pPr>
        <w:pStyle w:val="ListParagraph"/>
        <w:numPr>
          <w:ilvl w:val="0"/>
          <w:numId w:val="2"/>
        </w:numPr>
        <w:spacing w:after="80"/>
      </w:pPr>
      <w:r>
        <w:rPr>
          <w:b/>
          <w:bCs/>
        </w:rPr>
        <w:t xml:space="preserve">Phase 1 — free personal account: </w:t>
      </w:r>
      <w:r>
        <w:t xml:space="preserve">create one dedicated Google account for the app (not tied to any team member). Authorize it once via OAuth, store the refresh token server-side, and let the worker manage files in that account's regular Drive (15 GB free). No Workspace subscription required to start.</w:t>
      </w:r>
    </w:p>
    <w:p>
      <w:pPr>
        <w:pStyle w:val="ListParagraph"/>
        <w:numPr>
          <w:ilvl w:val="0"/>
          <w:numId w:val="2"/>
        </w:numPr>
        <w:spacing w:after="80"/>
      </w:pPr>
      <w:r>
        <w:rPr>
          <w:b/>
          <w:bCs/>
        </w:rPr>
        <w:t xml:space="preserve">Phase 2 — Workspace Shared Drive: </w:t>
      </w:r>
      <w:r>
        <w:t xml:space="preserve">move to a paid Google Workspace plan (Business Starter, ~$7/user/month, 30 GB pooled) once storage or reliability needs grow, with the worker operating inside a Shared Drive instead of a personal “My Drive.” This is required if using a bare service account, since newly created service accounts have a 0 GB own storage quota as of a May 2026 Drive API quota change — they can only write into a Shared Drive.</w:t>
      </w:r>
    </w:p>
    <w:p>
      <w:pPr>
        <w:pStyle w:val="ListParagraph"/>
        <w:numPr>
          <w:ilvl w:val="0"/>
          <w:numId w:val="2"/>
        </w:numPr>
        <w:spacing w:after="80"/>
      </w:pPr>
      <w:r>
        <w:rPr>
          <w:b/>
          <w:bCs/>
        </w:rPr>
        <w:t xml:space="preserve">Migration note: </w:t>
      </w:r>
      <w:r>
        <w:t xml:space="preserve">Google does not support directly transferring file ownership from a personal Gmail account to a Workspace account (blocked to prevent unauthorized cross-domain data transfer). Moving from Phase 1 to Phase 2 means copying files via script rather than a clean ownership handoff, and updating the Drive file IDs stored in the database afterward. Since the app already has its own Drive-import pipeline, this is a moderate, well-scoped one-time job — not a blocker, but worth budgeting time for rather than assuming it's a flip of a switch.</w:t>
      </w:r>
    </w:p>
    <w:p>
      <w:pPr>
        <w:pStyle w:val="Heading2"/>
        <w:spacing w:after="120" w:before="280"/>
      </w:pPr>
      <w:r>
        <w:t xml:space="preserve">4.10 Translation pipeline</w:t>
      </w:r>
    </w:p>
    <w:p>
      <w:pPr>
        <w:spacing w:after="160"/>
      </w:pPr>
      <w:r>
        <w:t xml:space="preserve">Two changes: how translation is triggered, and what does the translating.</w:t>
      </w:r>
    </w:p>
    <w:p>
      <w:pPr>
        <w:pStyle w:val="ListParagraph"/>
        <w:numPr>
          <w:ilvl w:val="0"/>
          <w:numId w:val="2"/>
        </w:numPr>
        <w:spacing w:after="80"/>
      </w:pPr>
      <w:r>
        <w:rPr>
          <w:b/>
          <w:bCs/>
        </w:rPr>
        <w:t xml:space="preserve">Trigger: </w:t>
      </w:r>
      <w:r>
        <w:t xml:space="preserve">move off “translate on admin click” to a background job that runs on an interval (e.g. every few minutes) or fires once a threshold of new translatable strings accumulates, whichever comes first.</w:t>
      </w:r>
    </w:p>
    <w:p>
      <w:pPr>
        <w:pStyle w:val="ListParagraph"/>
        <w:numPr>
          <w:ilvl w:val="0"/>
          <w:numId w:val="2"/>
        </w:numPr>
        <w:spacing w:after="80"/>
      </w:pPr>
      <w:r>
        <w:rPr>
          <w:b/>
          <w:bCs/>
        </w:rPr>
        <w:t xml:space="preserve">Engine: </w:t>
      </w:r>
      <w:r>
        <w:t xml:space="preserve">replace LibreTranslate, whose output quality was poor enough that Azerbaijani was disabled and bad English auto-translations had to be mass-cleared. Use DeepL for English/Russian (best quality and cheapest per character among the options, but does not support Azerbaijani), and Google Cloud Translation or Azure Translator specifically for Azerbaijani if that locale is reinstated.</w:t>
      </w:r>
    </w:p>
    <w:p>
      <w:pPr>
        <w:pStyle w:val="ListParagraph"/>
        <w:numPr>
          <w:ilvl w:val="0"/>
          <w:numId w:val="2"/>
        </w:numPr>
        <w:spacing w:after="80"/>
      </w:pPr>
      <w:r>
        <w:rPr>
          <w:b/>
          <w:bCs/>
        </w:rPr>
        <w:t xml:space="preserve">Review: </w:t>
      </w:r>
      <w:r>
        <w:t xml:space="preserve">keep caching translated strings as the existing pipeline does, and add a lightweight spot-check pass on a sample of new translations per run rather than trusting 100% of machine output blindly.</w:t>
      </w:r>
    </w:p>
    <w:p>
      <w:pPr>
        <w:spacing w:after="160"/>
      </w:pPr>
      <w:r>
        <w:t xml:space="preserve">Architectural note: the translation scheduler and the Drive worker are both background-job problems. Worth building one shared job queue (e.g. Celery or RQ) backed by the Redis instance already planned for rate limiting, rather than two separate ad-hoc mechanisms.</w:t>
      </w:r>
    </w:p>
    <w:p>
      <w:pPr>
        <w:pStyle w:val="Heading2"/>
        <w:spacing w:after="120" w:before="280"/>
      </w:pPr>
      <w:r>
        <w:t xml:space="preserve">4.11 Security &amp; hardening</w:t>
      </w:r>
    </w:p>
    <w:p>
      <w:pPr>
        <w:spacing w:after="160"/>
      </w:pPr>
      <w:r>
        <w:t xml:space="preserve">Findings from a technical audit of the original platform, rated 5/10 production-readiness — a stable, working system whose launch was deliberately accelerated, with these items knowingly deferred rather than missed:</w:t>
      </w:r>
    </w:p>
    <w:p>
      <w:pPr>
        <w:pStyle w:val="ListParagraph"/>
        <w:numPr>
          <w:ilvl w:val="0"/>
          <w:numId w:val="2"/>
        </w:numPr>
        <w:spacing w:after="80"/>
      </w:pPr>
      <w:r>
        <w:t xml:space="preserve">Global CSRF protection — currently missing platform-wide; apply a framework-level solution (e.g. Flask-WTF's CSRFProtect) to all forms and POST routes.</w:t>
      </w:r>
    </w:p>
    <w:p>
      <w:pPr>
        <w:pStyle w:val="ListParagraph"/>
        <w:numPr>
          <w:ilvl w:val="0"/>
          <w:numId w:val="2"/>
        </w:numPr>
        <w:spacing w:after="80"/>
      </w:pPr>
      <w:r>
        <w:t xml:space="preserve">Rate limiting via Redis, not in-process memory — the current limiter resets on restart and doesn't work correctly across multiple workers/instances.</w:t>
      </w:r>
    </w:p>
    <w:p>
      <w:pPr>
        <w:pStyle w:val="ListParagraph"/>
        <w:numPr>
          <w:ilvl w:val="0"/>
          <w:numId w:val="2"/>
        </w:numPr>
        <w:spacing w:after="80"/>
      </w:pPr>
      <w:r>
        <w:t xml:space="preserve">File upload limits — enforce a global max content length plus per-context limits, and validate real file content/MIME type, not just the filename extension.</w:t>
      </w:r>
    </w:p>
    <w:p>
      <w:pPr>
        <w:pStyle w:val="ListParagraph"/>
        <w:numPr>
          <w:ilvl w:val="0"/>
          <w:numId w:val="2"/>
        </w:numPr>
        <w:spacing w:after="80"/>
      </w:pPr>
      <w:r>
        <w:t xml:space="preserve">Structured logging — replace the 224 debug print() calls with leveled, JSON-formatted logging and rotation.</w:t>
      </w:r>
    </w:p>
    <w:p>
      <w:pPr>
        <w:pStyle w:val="ListParagraph"/>
        <w:numPr>
          <w:ilvl w:val="0"/>
          <w:numId w:val="2"/>
        </w:numPr>
        <w:spacing w:after="80"/>
      </w:pPr>
      <w:r>
        <w:t xml:space="preserve">Password validation &amp; verification — strength rules on signup/change, confirm hashing uses bcrypt/argon2, add email verification on signup if missing. Account lockout or basic 2FA is a reasonable stretch item, not a baseline requirement.</w:t>
      </w:r>
    </w:p>
    <w:p>
      <w:pPr>
        <w:pStyle w:val="ListParagraph"/>
        <w:numPr>
          <w:ilvl w:val="0"/>
          <w:numId w:val="2"/>
        </w:numPr>
        <w:spacing w:after="80"/>
      </w:pPr>
      <w:r>
        <w:t xml:space="preserve">GDPR-adjacent basics — a cookie consent banner and self-service data export/deletion. Low urgency with no real user base yet, but cheap to do properly from the start.</w:t>
      </w:r>
    </w:p>
    <w:p>
      <w:pPr>
        <w:spacing w:after="160"/>
      </w:pPr>
      <w:r>
        <w:t xml:space="preserve">Security work should ship early and in parallel with the redesign — it's cheap (mostly development time, near-zero infrastructure cost) and should be in place before any public demo link goes out, even without real users, since an exposed demo can still be scraped or probed.</w:t>
      </w:r>
    </w:p>
    <w:p>
      <w:pPr>
        <w:pStyle w:val="Heading2"/>
        <w:spacing w:after="120" w:before="280"/>
      </w:pPr>
      <w:r>
        <w:t xml:space="preserve">4.12 Admin panel</w:t>
      </w:r>
    </w:p>
    <w:p>
      <w:pPr>
        <w:spacing w:after="160"/>
      </w:pPr>
      <w:r>
        <w:t xml:space="preserve">Stays in place, but its scope moves with everything else: management screens that exist purely to maintain About Company, Gallery, and Contact Us are removed along with those pages. Everything tied to the four remaining pages is reworked and improved rather than just carried over as-is — course management, promo code issuance and open-source flag toggles, quiz authoring, forum/resource moderation, certificate template tuning, analytics, translation review, and user/permission management.</w:t>
      </w:r>
    </w:p>
    <w:p>
      <w:pPr>
        <w:pStyle w:val="Heading2"/>
        <w:spacing w:after="120" w:before="280"/>
      </w:pPr>
      <w:r>
        <w:t xml:space="preserve">4.13 Free testing options for the AI layer</w:t>
      </w:r>
    </w:p>
    <w:p>
      <w:pPr>
        <w:spacing w:after="160"/>
      </w:pPr>
      <w:r>
        <w:t xml:space="preserve">Before committing spend to any vendor, each AI piece can be tested for $0. Gemini is the front-runner for this project: it's genuinely free on an ongoing basis (not a one-time trial), requires no card, and — unlike the other chat APIs — natively accepts audio input under the same free tier, so it can cover both the personal guide and the subtitle/transcription piece from one account during testing.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400"/>
        <w:gridCol w:w="3000"/>
      </w:tblGrid>
      <w:tr>
        <w:trPr>
          <w:cantSplit/>
          <w:tblHeader/>
        </w:trPr>
        <w:tc>
          <w:tcPr>
            <w:tcW w:type="dxa" w:w="1700"/>
            <w:shd w:fill="1F4E5F" w:val="clear"/>
            <w:tcMar>
              <w:top w:type="dxa" w:w="100"/>
              <w:left w:type="dxa" w:w="120"/>
              <w:bottom w:type="dxa" w:w="100"/>
              <w:right w:type="dxa" w:w="120"/>
            </w:tcMar>
          </w:tcPr>
          <w:p>
            <w:pPr>
              <w:jc w:val="left"/>
            </w:pPr>
            <w:r>
              <w:rPr>
                <w:b/>
                <w:bCs/>
              </w:rPr>
              <w:t xml:space="preserve">Option</w:t>
            </w:r>
          </w:p>
        </w:tc>
        <w:tc>
          <w:tcPr>
            <w:tcW w:type="dxa" w:w="2100"/>
            <w:shd w:fill="1F4E5F" w:val="clear"/>
            <w:tcMar>
              <w:top w:type="dxa" w:w="100"/>
              <w:left w:type="dxa" w:w="120"/>
              <w:bottom w:type="dxa" w:w="100"/>
              <w:right w:type="dxa" w:w="120"/>
            </w:tcMar>
          </w:tcPr>
          <w:p>
            <w:pPr>
              <w:jc w:val="left"/>
            </w:pPr>
            <w:r>
              <w:rPr>
                <w:b/>
                <w:bCs/>
              </w:rPr>
              <w:t xml:space="preserve">Covers</w:t>
            </w:r>
          </w:p>
        </w:tc>
        <w:tc>
          <w:tcPr>
            <w:tcW w:type="dxa" w:w="2400"/>
            <w:shd w:fill="1F4E5F" w:val="clear"/>
            <w:tcMar>
              <w:top w:type="dxa" w:w="100"/>
              <w:left w:type="dxa" w:w="120"/>
              <w:bottom w:type="dxa" w:w="100"/>
              <w:right w:type="dxa" w:w="120"/>
            </w:tcMar>
          </w:tcPr>
          <w:p>
            <w:pPr>
              <w:jc w:val="left"/>
            </w:pPr>
            <w:r>
              <w:rPr>
                <w:b/>
                <w:bCs/>
              </w:rPr>
              <w:t xml:space="preserve">Free tier</w:t>
            </w:r>
          </w:p>
        </w:tc>
        <w:tc>
          <w:tcPr>
            <w:tcW w:type="dxa" w:w="3000"/>
            <w:shd w:fill="1F4E5F" w:val="clear"/>
            <w:tcMar>
              <w:top w:type="dxa" w:w="100"/>
              <w:left w:type="dxa" w:w="120"/>
              <w:bottom w:type="dxa" w:w="100"/>
              <w:right w:type="dxa" w:w="120"/>
            </w:tcMar>
          </w:tcPr>
          <w:p>
            <w:pPr>
              <w:jc w:val="left"/>
            </w:pPr>
            <w:r>
              <w:rPr>
                <w:b/>
                <w:bCs/>
              </w:rPr>
              <w:t xml:space="preserve">Notes</w:t>
            </w:r>
          </w:p>
        </w:tc>
      </w:tr>
      <w:tr>
        <w:trPr>
          <w:cantSplit/>
        </w:trPr>
        <w:tc>
          <w:tcPr>
            <w:tcW w:type="dxa" w:w="1700"/>
            <w:shd w:fill="D6E9DD" w:val="clear"/>
            <w:tcMar>
              <w:top w:type="dxa" w:w="100"/>
              <w:left w:type="dxa" w:w="120"/>
              <w:bottom w:type="dxa" w:w="100"/>
              <w:right w:type="dxa" w:w="120"/>
            </w:tcMar>
          </w:tcPr>
          <w:p>
            <w:pPr>
              <w:jc w:val="left"/>
            </w:pPr>
            <w:r>
              <w:rPr>
                <w:b/>
                <w:bCs/>
              </w:rPr>
              <w:t xml:space="preserve">Gemini (Google AI Studio) — recommended</w:t>
            </w:r>
          </w:p>
        </w:tc>
        <w:tc>
          <w:tcPr>
            <w:tcW w:type="dxa" w:w="2100"/>
            <w:shd w:fill="D6E9DD" w:val="clear"/>
            <w:tcMar>
              <w:top w:type="dxa" w:w="100"/>
              <w:left w:type="dxa" w:w="120"/>
              <w:bottom w:type="dxa" w:w="100"/>
              <w:right w:type="dxa" w:w="120"/>
            </w:tcMar>
          </w:tcPr>
          <w:p>
            <w:pPr>
              <w:jc w:val="left"/>
            </w:pPr>
            <w:r>
              <w:rPr>
                <w:b w:val="false"/>
                <w:bCs w:val="false"/>
              </w:rPr>
              <w:t xml:space="preserve">Chat / RAG and audio transcription</w:t>
            </w:r>
          </w:p>
        </w:tc>
        <w:tc>
          <w:tcPr>
            <w:tcW w:type="dxa" w:w="2400"/>
            <w:shd w:fill="D6E9DD" w:val="clear"/>
            <w:tcMar>
              <w:top w:type="dxa" w:w="100"/>
              <w:left w:type="dxa" w:w="120"/>
              <w:bottom w:type="dxa" w:w="100"/>
              <w:right w:type="dxa" w:w="120"/>
            </w:tcMar>
          </w:tcPr>
          <w:p>
            <w:pPr>
              <w:jc w:val="left"/>
            </w:pPr>
            <w:r>
              <w:rPr>
                <w:b w:val="false"/>
                <w:bCs w:val="false"/>
              </w:rPr>
              <w:t xml:space="preserve">Ongoing, no card — Flash models, roughly 1,000–1,500 requests/day, 15 req/min</w:t>
            </w:r>
          </w:p>
        </w:tc>
        <w:tc>
          <w:tcPr>
            <w:tcW w:type="dxa" w:w="3000"/>
            <w:shd w:fill="D6E9DD" w:val="clear"/>
            <w:tcMar>
              <w:top w:type="dxa" w:w="100"/>
              <w:left w:type="dxa" w:w="120"/>
              <w:bottom w:type="dxa" w:w="100"/>
              <w:right w:type="dxa" w:w="120"/>
            </w:tcMar>
          </w:tcPr>
          <w:p>
            <w:pPr>
              <w:jc w:val="left"/>
            </w:pPr>
            <w:r>
              <w:rPr>
                <w:b w:val="false"/>
                <w:bCs w:val="false"/>
              </w:rPr>
              <w:t xml:space="preserve">Covers two of the three AI pieces (guide + subtitles) on one free tier. Enabling billing removes the free tier entirely on that project.</w:t>
            </w:r>
          </w:p>
        </w:tc>
      </w:tr>
      <w:tr>
        <w:trPr>
          <w:cantSplit/>
        </w:trPr>
        <w:tc>
          <w:tcPr>
            <w:tcW w:type="dxa" w:w="1700"/>
            <w:tcMar>
              <w:top w:type="dxa" w:w="100"/>
              <w:left w:type="dxa" w:w="120"/>
              <w:bottom w:type="dxa" w:w="100"/>
              <w:right w:type="dxa" w:w="120"/>
            </w:tcMar>
          </w:tcPr>
          <w:p>
            <w:pPr>
              <w:jc w:val="left"/>
            </w:pPr>
            <w:r>
              <w:rPr>
                <w:b w:val="false"/>
                <w:bCs w:val="false"/>
              </w:rPr>
              <w:t xml:space="preserve">Groq</w:t>
            </w:r>
          </w:p>
        </w:tc>
        <w:tc>
          <w:tcPr>
            <w:tcW w:type="dxa" w:w="2100"/>
            <w:tcMar>
              <w:top w:type="dxa" w:w="100"/>
              <w:left w:type="dxa" w:w="120"/>
              <w:bottom w:type="dxa" w:w="100"/>
              <w:right w:type="dxa" w:w="120"/>
            </w:tcMar>
          </w:tcPr>
          <w:p>
            <w:pPr>
              <w:jc w:val="left"/>
            </w:pPr>
            <w:r>
              <w:rPr>
                <w:b w:val="false"/>
                <w:bCs w:val="false"/>
              </w:rPr>
              <w:t xml:space="preserve">Chat / RAG (open models)</w:t>
            </w:r>
          </w:p>
        </w:tc>
        <w:tc>
          <w:tcPr>
            <w:tcW w:type="dxa" w:w="2400"/>
            <w:tcMar>
              <w:top w:type="dxa" w:w="100"/>
              <w:left w:type="dxa" w:w="120"/>
              <w:bottom w:type="dxa" w:w="100"/>
              <w:right w:type="dxa" w:w="120"/>
            </w:tcMar>
          </w:tcPr>
          <w:p>
            <w:pPr>
              <w:jc w:val="left"/>
            </w:pPr>
            <w:r>
              <w:rPr>
                <w:b w:val="false"/>
                <w:bCs w:val="false"/>
              </w:rPr>
              <w:t xml:space="preserve">Ongoing, no card — 14,400 requests/day</w:t>
            </w:r>
          </w:p>
        </w:tc>
        <w:tc>
          <w:tcPr>
            <w:tcW w:type="dxa" w:w="3000"/>
            <w:tcMar>
              <w:top w:type="dxa" w:w="100"/>
              <w:left w:type="dxa" w:w="120"/>
              <w:bottom w:type="dxa" w:w="100"/>
              <w:right w:type="dxa" w:w="120"/>
            </w:tcMar>
          </w:tcPr>
          <w:p>
            <w:pPr>
              <w:jc w:val="left"/>
            </w:pPr>
            <w:r>
              <w:rPr>
                <w:b w:val="false"/>
                <w:bCs w:val="false"/>
              </w:rPr>
              <w:t xml:space="preserve">Fast; good for testing prompting and retrieval logic before committing to a vendor.</w:t>
            </w:r>
          </w:p>
        </w:tc>
      </w:tr>
      <w:tr>
        <w:trPr>
          <w:cantSplit/>
        </w:trPr>
        <w:tc>
          <w:tcPr>
            <w:tcW w:type="dxa" w:w="1700"/>
            <w:tcMar>
              <w:top w:type="dxa" w:w="100"/>
              <w:left w:type="dxa" w:w="120"/>
              <w:bottom w:type="dxa" w:w="100"/>
              <w:right w:type="dxa" w:w="120"/>
            </w:tcMar>
          </w:tcPr>
          <w:p>
            <w:pPr>
              <w:jc w:val="left"/>
            </w:pPr>
            <w:r>
              <w:rPr>
                <w:b w:val="false"/>
                <w:bCs w:val="false"/>
              </w:rPr>
              <w:t xml:space="preserve">Anthropic (Claude)</w:t>
            </w:r>
          </w:p>
        </w:tc>
        <w:tc>
          <w:tcPr>
            <w:tcW w:type="dxa" w:w="2100"/>
            <w:tcMar>
              <w:top w:type="dxa" w:w="100"/>
              <w:left w:type="dxa" w:w="120"/>
              <w:bottom w:type="dxa" w:w="100"/>
              <w:right w:type="dxa" w:w="120"/>
            </w:tcMar>
          </w:tcPr>
          <w:p>
            <w:pPr>
              <w:jc w:val="left"/>
            </w:pPr>
            <w:r>
              <w:rPr>
                <w:b w:val="false"/>
                <w:bCs w:val="false"/>
              </w:rPr>
              <w:t xml:space="preserve">Chat / RAG</w:t>
            </w:r>
          </w:p>
        </w:tc>
        <w:tc>
          <w:tcPr>
            <w:tcW w:type="dxa" w:w="2400"/>
            <w:tcMar>
              <w:top w:type="dxa" w:w="100"/>
              <w:left w:type="dxa" w:w="120"/>
              <w:bottom w:type="dxa" w:w="100"/>
              <w:right w:type="dxa" w:w="120"/>
            </w:tcMar>
          </w:tcPr>
          <w:p>
            <w:pPr>
              <w:jc w:val="left"/>
            </w:pPr>
            <w:r>
              <w:rPr>
                <w:b w:val="false"/>
                <w:bCs w:val="false"/>
              </w:rPr>
              <w:t xml:space="preserve">One-time $5 signup credit (~1.6M input tokens on Sonnet)</w:t>
            </w:r>
          </w:p>
        </w:tc>
        <w:tc>
          <w:tcPr>
            <w:tcW w:type="dxa" w:w="3000"/>
            <w:tcMar>
              <w:top w:type="dxa" w:w="100"/>
              <w:left w:type="dxa" w:w="120"/>
              <w:bottom w:type="dxa" w:w="100"/>
              <w:right w:type="dxa" w:w="120"/>
            </w:tcMar>
          </w:tcPr>
          <w:p>
            <w:pPr>
              <w:jc w:val="left"/>
            </w:pPr>
            <w:r>
              <w:rPr>
                <w:b w:val="false"/>
                <w:bCs w:val="false"/>
              </w:rPr>
              <w:t xml:space="preserve">Useful once you specifically want to compare Claude's output quality.</w:t>
            </w:r>
          </w:p>
        </w:tc>
      </w:tr>
      <w:tr>
        <w:trPr>
          <w:cantSplit/>
        </w:trPr>
        <w:tc>
          <w:tcPr>
            <w:tcW w:type="dxa" w:w="1700"/>
            <w:tcMar>
              <w:top w:type="dxa" w:w="100"/>
              <w:left w:type="dxa" w:w="120"/>
              <w:bottom w:type="dxa" w:w="100"/>
              <w:right w:type="dxa" w:w="120"/>
            </w:tcMar>
          </w:tcPr>
          <w:p>
            <w:pPr>
              <w:jc w:val="left"/>
            </w:pPr>
            <w:r>
              <w:rPr>
                <w:b w:val="false"/>
                <w:bCs w:val="false"/>
              </w:rPr>
              <w:t xml:space="preserve">Self-hosted (local)</w:t>
            </w:r>
          </w:p>
        </w:tc>
        <w:tc>
          <w:tcPr>
            <w:tcW w:type="dxa" w:w="2100"/>
            <w:tcMar>
              <w:top w:type="dxa" w:w="100"/>
              <w:left w:type="dxa" w:w="120"/>
              <w:bottom w:type="dxa" w:w="100"/>
              <w:right w:type="dxa" w:w="120"/>
            </w:tcMar>
          </w:tcPr>
          <w:p>
            <w:pPr>
              <w:jc w:val="left"/>
            </w:pPr>
            <w:r>
              <w:rPr>
                <w:b w:val="false"/>
                <w:bCs w:val="false"/>
              </w:rPr>
              <w:t xml:space="preserve">Embeddings + transcription</w:t>
            </w:r>
          </w:p>
        </w:tc>
        <w:tc>
          <w:tcPr>
            <w:tcW w:type="dxa" w:w="2400"/>
            <w:tcMar>
              <w:top w:type="dxa" w:w="100"/>
              <w:left w:type="dxa" w:w="120"/>
              <w:bottom w:type="dxa" w:w="100"/>
              <w:right w:type="dxa" w:w="120"/>
            </w:tcMar>
          </w:tcPr>
          <w:p>
            <w:pPr>
              <w:jc w:val="left"/>
            </w:pPr>
            <w:r>
              <w:rPr>
                <w:b w:val="false"/>
                <w:bCs w:val="false"/>
              </w:rPr>
              <w:t xml:space="preserve">Free, no limits — uses your own CPU/GPU</w:t>
            </w:r>
          </w:p>
        </w:tc>
        <w:tc>
          <w:tcPr>
            <w:tcW w:type="dxa" w:w="3000"/>
            <w:tcMar>
              <w:top w:type="dxa" w:w="100"/>
              <w:left w:type="dxa" w:w="120"/>
              <w:bottom w:type="dxa" w:w="100"/>
              <w:right w:type="dxa" w:w="120"/>
            </w:tcMar>
          </w:tcPr>
          <w:p>
            <w:pPr>
              <w:jc w:val="left"/>
            </w:pPr>
            <w:r>
              <w:rPr>
                <w:b w:val="false"/>
                <w:bCs w:val="false"/>
              </w:rPr>
              <w:t xml:space="preserve">sentence-transformers for embeddings, Whisper for transcription.</w:t>
            </w:r>
          </w:p>
        </w:tc>
      </w:tr>
      <w:tr>
        <w:trPr>
          <w:cantSplit/>
        </w:trPr>
        <w:tc>
          <w:tcPr>
            <w:tcW w:type="dxa" w:w="1700"/>
            <w:tcMar>
              <w:top w:type="dxa" w:w="100"/>
              <w:left w:type="dxa" w:w="120"/>
              <w:bottom w:type="dxa" w:w="100"/>
              <w:right w:type="dxa" w:w="120"/>
            </w:tcMar>
          </w:tcPr>
          <w:p>
            <w:pPr>
              <w:jc w:val="left"/>
            </w:pPr>
            <w:r>
              <w:rPr>
                <w:b w:val="false"/>
                <w:bCs w:val="false"/>
              </w:rPr>
              <w:t xml:space="preserve">ElevenLabs</w:t>
            </w:r>
          </w:p>
        </w:tc>
        <w:tc>
          <w:tcPr>
            <w:tcW w:type="dxa" w:w="2100"/>
            <w:tcMar>
              <w:top w:type="dxa" w:w="100"/>
              <w:left w:type="dxa" w:w="120"/>
              <w:bottom w:type="dxa" w:w="100"/>
              <w:right w:type="dxa" w:w="120"/>
            </w:tcMar>
          </w:tcPr>
          <w:p>
            <w:pPr>
              <w:jc w:val="left"/>
            </w:pPr>
            <w:r>
              <w:rPr>
                <w:b w:val="false"/>
                <w:bCs w:val="false"/>
              </w:rPr>
              <w:t xml:space="preserve">Audio overview (TTS)</w:t>
            </w:r>
          </w:p>
        </w:tc>
        <w:tc>
          <w:tcPr>
            <w:tcW w:type="dxa" w:w="2400"/>
            <w:tcMar>
              <w:top w:type="dxa" w:w="100"/>
              <w:left w:type="dxa" w:w="120"/>
              <w:bottom w:type="dxa" w:w="100"/>
              <w:right w:type="dxa" w:w="120"/>
            </w:tcMar>
          </w:tcPr>
          <w:p>
            <w:pPr>
              <w:jc w:val="left"/>
            </w:pPr>
            <w:r>
              <w:rPr>
                <w:b w:val="false"/>
                <w:bCs w:val="false"/>
              </w:rPr>
              <w:t xml:space="preserve">10,000 characters/month free (~12–15 min of audio)</w:t>
            </w:r>
          </w:p>
        </w:tc>
        <w:tc>
          <w:tcPr>
            <w:tcW w:type="dxa" w:w="3000"/>
            <w:tcMar>
              <w:top w:type="dxa" w:w="100"/>
              <w:left w:type="dxa" w:w="120"/>
              <w:bottom w:type="dxa" w:w="100"/>
              <w:right w:type="dxa" w:w="120"/>
            </w:tcMar>
          </w:tcPr>
          <w:p>
            <w:pPr>
              <w:jc w:val="left"/>
            </w:pPr>
            <w:r>
              <w:rPr>
                <w:b w:val="false"/>
                <w:bCs w:val="false"/>
              </w:rPr>
              <w:t xml:space="preserve">Non-commercial only; best way to prototype the audio-overview format before paying anyone for TTS.</w:t>
            </w:r>
          </w:p>
        </w:tc>
      </w:tr>
    </w:tbl>
    <w:p>
      <w:pPr>
        <w:spacing w:after="120"/>
      </w:pPr>
    </w:p>
    <w:p>
      <w:pPr>
        <w:spacing w:after="160"/>
      </w:pPr>
      <w:r>
        <w:rPr>
          <w:i/>
          <w:iCs/>
          <w:color w:val="666666"/>
        </w:rPr>
        <w:t xml:space="preserve">Gemini's native text-to-speech is priced separately and wasn't confirmed to sit under the same no-cost allowance, so the audio-overview feature is better prototyped against ElevenLabs' free tier for now. Worth using a separate Gemini project/API key for anything that needs billing enabled (e.g. TTS), so the free chat/transcription tier on the main project stays intact.</w:t>
      </w:r>
    </w:p>
    <w:p>
      <w:pPr>
        <w:pStyle w:val="Heading1"/>
        <w:spacing w:after="200" w:before="400"/>
      </w:pPr>
      <w:r>
        <w:t xml:space="preserve">5. Removed for now</w:t>
      </w:r>
    </w:p>
    <w:p>
      <w:pPr>
        <w:pStyle w:val="ListParagraph"/>
        <w:numPr>
          <w:ilvl w:val="0"/>
          <w:numId w:val="2"/>
        </w:numPr>
        <w:spacing w:after="80"/>
      </w:pPr>
      <w:r>
        <w:t xml:space="preserve">About Company page — company info, team section, galleries, services section</w:t>
      </w:r>
    </w:p>
    <w:p>
      <w:pPr>
        <w:pStyle w:val="ListParagraph"/>
        <w:numPr>
          <w:ilvl w:val="0"/>
          <w:numId w:val="2"/>
        </w:numPr>
        <w:spacing w:after="80"/>
      </w:pPr>
      <w:r>
        <w:t xml:space="preserve">Gallery page/section on the home page</w:t>
      </w:r>
    </w:p>
    <w:p>
      <w:pPr>
        <w:pStyle w:val="ListParagraph"/>
        <w:numPr>
          <w:ilvl w:val="0"/>
          <w:numId w:val="2"/>
        </w:numPr>
        <w:spacing w:after="80"/>
      </w:pPr>
      <w:r>
        <w:t xml:space="preserve">Contact Us page — form, contact details, map embed</w:t>
      </w:r>
    </w:p>
    <w:p>
      <w:pPr>
        <w:pStyle w:val="ListParagraph"/>
        <w:numPr>
          <w:ilvl w:val="0"/>
          <w:numId w:val="2"/>
        </w:numPr>
        <w:spacing w:after="80"/>
      </w:pPr>
      <w:r>
        <w:t xml:space="preserve">Admin management screens that exist only to maintain the above</w:t>
      </w:r>
    </w:p>
    <w:p>
      <w:pPr>
        <w:pStyle w:val="Heading1"/>
        <w:spacing w:after="200" w:before="400"/>
      </w:pPr>
      <w:r>
        <w:t xml:space="preserve">6. Deferred / stretch</w:t>
      </w:r>
    </w:p>
    <w:p>
      <w:pPr>
        <w:pStyle w:val="ListParagraph"/>
        <w:numPr>
          <w:ilvl w:val="0"/>
          <w:numId w:val="2"/>
        </w:numPr>
        <w:spacing w:after="80"/>
      </w:pPr>
      <w:r>
        <w:t xml:space="preserve">Online meetings — explicitly a nice-to-have with no real audience to serve it. If time remains: self-hosted Jitsi (free) over a paid Zoom/Daily.co integration.</w:t>
      </w:r>
    </w:p>
    <w:p>
      <w:pPr>
        <w:pStyle w:val="ListParagraph"/>
        <w:numPr>
          <w:ilvl w:val="0"/>
          <w:numId w:val="2"/>
        </w:numPr>
        <w:spacing w:after="80"/>
      </w:pPr>
      <w:r>
        <w:t xml:space="preserve">AI grading, AI-generated quizzes, AI course recommendations — reasonable future extensions of the AI layer once the personal guide is working, not part of v1.</w:t>
      </w:r>
    </w:p>
    <w:p>
      <w:pPr>
        <w:pStyle w:val="ListParagraph"/>
        <w:numPr>
          <w:ilvl w:val="0"/>
          <w:numId w:val="2"/>
        </w:numPr>
        <w:spacing w:after="80"/>
      </w:pPr>
      <w:r>
        <w:t xml:space="preserve">Paid course enrollment — the access model (Section 4.8) leaves room for it, but payment integration itself is a later addition.</w:t>
      </w:r>
    </w:p>
    <w:p>
      <w:pPr>
        <w:pStyle w:val="Heading1"/>
        <w:spacing w:after="200" w:before="400"/>
      </w:pPr>
      <w:r>
        <w:t xml:space="preserve">7. Cost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cantSplit/>
          <w:tblHeader/>
        </w:trPr>
        <w:tc>
          <w:tcPr>
            <w:tcW w:type="dxa" w:w="3200"/>
            <w:shd w:fill="1F4E5F" w:val="clear"/>
            <w:tcMar>
              <w:top w:type="dxa" w:w="100"/>
              <w:left w:type="dxa" w:w="120"/>
              <w:bottom w:type="dxa" w:w="100"/>
              <w:right w:type="dxa" w:w="120"/>
            </w:tcMar>
          </w:tcPr>
          <w:p>
            <w:pPr>
              <w:jc w:val="left"/>
            </w:pPr>
            <w:r>
              <w:rPr>
                <w:b/>
                <w:bCs/>
              </w:rPr>
              <w:t xml:space="preserve">Area</w:t>
            </w:r>
          </w:p>
        </w:tc>
        <w:tc>
          <w:tcPr>
            <w:tcW w:type="dxa" w:w="6000"/>
            <w:shd w:fill="1F4E5F" w:val="clear"/>
            <w:tcMar>
              <w:top w:type="dxa" w:w="100"/>
              <w:left w:type="dxa" w:w="120"/>
              <w:bottom w:type="dxa" w:w="100"/>
              <w:right w:type="dxa" w:w="120"/>
            </w:tcMar>
          </w:tcPr>
          <w:p>
            <w:pPr>
              <w:jc w:val="left"/>
            </w:pPr>
            <w:r>
              <w:rPr>
                <w:b/>
                <w:bCs/>
              </w:rPr>
              <w:t xml:space="preserve">Cost</w:t>
            </w:r>
          </w:p>
        </w:tc>
      </w:tr>
      <w:tr>
        <w:trPr>
          <w:cantSplit/>
        </w:trPr>
        <w:tc>
          <w:tcPr>
            <w:tcW w:type="dxa" w:w="3200"/>
            <w:tcMar>
              <w:top w:type="dxa" w:w="100"/>
              <w:left w:type="dxa" w:w="120"/>
              <w:bottom w:type="dxa" w:w="100"/>
              <w:right w:type="dxa" w:w="120"/>
            </w:tcMar>
          </w:tcPr>
          <w:p>
            <w:pPr>
              <w:jc w:val="left"/>
            </w:pPr>
            <w:r>
              <w:rPr>
                <w:b w:val="false"/>
                <w:bCs w:val="false"/>
              </w:rPr>
              <w:t xml:space="preserve">AI (embeddings, chat, transcription, TTS)</w:t>
            </w:r>
          </w:p>
        </w:tc>
        <w:tc>
          <w:tcPr>
            <w:tcW w:type="dxa" w:w="6000"/>
            <w:tcMar>
              <w:top w:type="dxa" w:w="100"/>
              <w:left w:type="dxa" w:w="120"/>
              <w:bottom w:type="dxa" w:w="100"/>
              <w:right w:type="dxa" w:w="120"/>
            </w:tcMar>
          </w:tcPr>
          <w:p>
            <w:pPr>
              <w:jc w:val="left"/>
            </w:pPr>
            <w:r>
              <w:rPr>
                <w:b w:val="false"/>
                <w:bCs w:val="false"/>
              </w:rPr>
              <w:t xml:space="preserve">~$20–$30 total to build and demo</w:t>
            </w:r>
          </w:p>
        </w:tc>
      </w:tr>
      <w:tr>
        <w:trPr>
          <w:cantSplit/>
        </w:trPr>
        <w:tc>
          <w:tcPr>
            <w:tcW w:type="dxa" w:w="3200"/>
            <w:shd w:fill="EAF1F3" w:val="clear"/>
            <w:tcMar>
              <w:top w:type="dxa" w:w="100"/>
              <w:left w:type="dxa" w:w="120"/>
              <w:bottom w:type="dxa" w:w="100"/>
              <w:right w:type="dxa" w:w="120"/>
            </w:tcMar>
          </w:tcPr>
          <w:p>
            <w:pPr>
              <w:jc w:val="left"/>
            </w:pPr>
            <w:r>
              <w:rPr>
                <w:b w:val="false"/>
                <w:bCs w:val="false"/>
              </w:rPr>
              <w:t xml:space="preserve">Redis, structured logging, CSRF, password validation</w:t>
            </w:r>
          </w:p>
        </w:tc>
        <w:tc>
          <w:tcPr>
            <w:tcW w:type="dxa" w:w="6000"/>
            <w:shd w:fill="EAF1F3" w:val="clear"/>
            <w:tcMar>
              <w:top w:type="dxa" w:w="100"/>
              <w:left w:type="dxa" w:w="120"/>
              <w:bottom w:type="dxa" w:w="100"/>
              <w:right w:type="dxa" w:w="120"/>
            </w:tcMar>
          </w:tcPr>
          <w:p>
            <w:pPr>
              <w:jc w:val="left"/>
            </w:pPr>
            <w:r>
              <w:rPr>
                <w:b w:val="false"/>
                <w:bCs w:val="false"/>
              </w:rPr>
              <w:t xml:space="preserve">$0 — self-hosted / open source</w:t>
            </w:r>
          </w:p>
        </w:tc>
      </w:tr>
      <w:tr>
        <w:trPr>
          <w:cantSplit/>
        </w:trPr>
        <w:tc>
          <w:tcPr>
            <w:tcW w:type="dxa" w:w="3200"/>
            <w:tcMar>
              <w:top w:type="dxa" w:w="100"/>
              <w:left w:type="dxa" w:w="120"/>
              <w:bottom w:type="dxa" w:w="100"/>
              <w:right w:type="dxa" w:w="120"/>
            </w:tcMar>
          </w:tcPr>
          <w:p>
            <w:pPr>
              <w:jc w:val="left"/>
            </w:pPr>
            <w:r>
              <w:rPr>
                <w:b w:val="false"/>
                <w:bCs w:val="false"/>
              </w:rPr>
              <w:t xml:space="preserve">Error tracking (optional, e.g. Sentry)</w:t>
            </w:r>
          </w:p>
        </w:tc>
        <w:tc>
          <w:tcPr>
            <w:tcW w:type="dxa" w:w="6000"/>
            <w:tcMar>
              <w:top w:type="dxa" w:w="100"/>
              <w:left w:type="dxa" w:w="120"/>
              <w:bottom w:type="dxa" w:w="100"/>
              <w:right w:type="dxa" w:w="120"/>
            </w:tcMar>
          </w:tcPr>
          <w:p>
            <w:pPr>
              <w:jc w:val="left"/>
            </w:pPr>
            <w:r>
              <w:rPr>
                <w:b w:val="false"/>
                <w:bCs w:val="false"/>
              </w:rPr>
              <w:t xml:space="preserve">$0 on free tier (5,000 errors/month)</w:t>
            </w:r>
          </w:p>
        </w:tc>
      </w:tr>
      <w:tr>
        <w:trPr>
          <w:cantSplit/>
        </w:trPr>
        <w:tc>
          <w:tcPr>
            <w:tcW w:type="dxa" w:w="3200"/>
            <w:shd w:fill="EAF1F3" w:val="clear"/>
            <w:tcMar>
              <w:top w:type="dxa" w:w="100"/>
              <w:left w:type="dxa" w:w="120"/>
              <w:bottom w:type="dxa" w:w="100"/>
              <w:right w:type="dxa" w:w="120"/>
            </w:tcMar>
          </w:tcPr>
          <w:p>
            <w:pPr>
              <w:jc w:val="left"/>
            </w:pPr>
            <w:r>
              <w:rPr>
                <w:b w:val="false"/>
                <w:bCs w:val="false"/>
              </w:rPr>
              <w:t xml:space="preserve">Translation APIs (DeepL / Google)</w:t>
            </w:r>
          </w:p>
        </w:tc>
        <w:tc>
          <w:tcPr>
            <w:tcW w:type="dxa" w:w="6000"/>
            <w:shd w:fill="EAF1F3" w:val="clear"/>
            <w:tcMar>
              <w:top w:type="dxa" w:w="100"/>
              <w:left w:type="dxa" w:w="120"/>
              <w:bottom w:type="dxa" w:w="100"/>
              <w:right w:type="dxa" w:w="120"/>
            </w:tcMar>
          </w:tcPr>
          <w:p>
            <w:pPr>
              <w:jc w:val="left"/>
            </w:pPr>
            <w:r>
              <w:rPr>
                <w:b w:val="false"/>
                <w:bCs w:val="false"/>
              </w:rPr>
              <w:t xml:space="preserve">$0 — within free tiers (500k characters/month each) at this volume</w:t>
            </w:r>
          </w:p>
        </w:tc>
      </w:tr>
      <w:tr>
        <w:trPr>
          <w:cantSplit/>
        </w:trPr>
        <w:tc>
          <w:tcPr>
            <w:tcW w:type="dxa" w:w="3200"/>
            <w:tcMar>
              <w:top w:type="dxa" w:w="100"/>
              <w:left w:type="dxa" w:w="120"/>
              <w:bottom w:type="dxa" w:w="100"/>
              <w:right w:type="dxa" w:w="120"/>
            </w:tcMar>
          </w:tcPr>
          <w:p>
            <w:pPr>
              <w:jc w:val="left"/>
            </w:pPr>
            <w:r>
              <w:rPr>
                <w:b w:val="false"/>
                <w:bCs w:val="false"/>
              </w:rPr>
              <w:t xml:space="preserve">Google Drive worker account</w:t>
            </w:r>
          </w:p>
        </w:tc>
        <w:tc>
          <w:tcPr>
            <w:tcW w:type="dxa" w:w="6000"/>
            <w:tcMar>
              <w:top w:type="dxa" w:w="100"/>
              <w:left w:type="dxa" w:w="120"/>
              <w:bottom w:type="dxa" w:w="100"/>
              <w:right w:type="dxa" w:w="120"/>
            </w:tcMar>
          </w:tcPr>
          <w:p>
            <w:pPr>
              <w:jc w:val="left"/>
            </w:pPr>
            <w:r>
              <w:rPr>
                <w:b w:val="false"/>
                <w:bCs w:val="false"/>
              </w:rPr>
              <w:t xml:space="preserve">$0 to start (free personal account); ~$7+/user/month later if moved to a Workspace Shared Drive</w:t>
            </w:r>
          </w:p>
        </w:tc>
      </w:tr>
      <w:tr>
        <w:trPr>
          <w:cantSplit/>
        </w:trPr>
        <w:tc>
          <w:tcPr>
            <w:tcW w:type="dxa" w:w="3200"/>
            <w:shd w:fill="EAF1F3" w:val="clear"/>
            <w:tcMar>
              <w:top w:type="dxa" w:w="100"/>
              <w:left w:type="dxa" w:w="120"/>
              <w:bottom w:type="dxa" w:w="100"/>
              <w:right w:type="dxa" w:w="120"/>
            </w:tcMar>
          </w:tcPr>
          <w:p>
            <w:pPr>
              <w:jc w:val="left"/>
            </w:pPr>
            <w:r>
              <w:rPr>
                <w:b w:val="false"/>
                <w:bCs w:val="false"/>
              </w:rPr>
              <w:t xml:space="preserve">Hosting / infrastructure</w:t>
            </w:r>
          </w:p>
        </w:tc>
        <w:tc>
          <w:tcPr>
            <w:tcW w:type="dxa" w:w="6000"/>
            <w:shd w:fill="EAF1F3" w:val="clear"/>
            <w:tcMar>
              <w:top w:type="dxa" w:w="100"/>
              <w:left w:type="dxa" w:w="120"/>
              <w:bottom w:type="dxa" w:w="100"/>
              <w:right w:type="dxa" w:w="120"/>
            </w:tcMar>
          </w:tcPr>
          <w:p>
            <w:pPr>
              <w:jc w:val="left"/>
            </w:pPr>
            <w:r>
              <w:rPr>
                <w:b w:val="false"/>
                <w:bCs w:val="false"/>
              </w:rPr>
              <w:t xml:space="preserve">$0 additional — reuse existing VPS, Docker, Caddy setup</w:t>
            </w:r>
          </w:p>
        </w:tc>
      </w:tr>
    </w:tbl>
    <w:p>
      <w:pPr>
        <w:spacing w:after="200"/>
      </w:pPr>
    </w:p>
    <w:p>
      <w:pPr>
        <w:spacing w:after="160"/>
      </w:pPr>
      <w:r>
        <w:rPr>
          <w:i/>
          <w:iCs/>
          <w:color w:val="666666"/>
        </w:rPr>
        <w:t xml:space="preserve">Overall: the AI layer and translation upgrade are cheap at portfolio scale (well within free tiers for most components), and most of the security work is development time rather than paid infrastructure. The one real recurring cost to plan for is Google Workspace, and only once/if the Drive worker moves out of Phase 1.</w:t>
      </w:r>
    </w:p>
    <w:p>
      <w:pPr>
        <w:pStyle w:val="Heading1"/>
        <w:spacing w:after="200" w:before="400"/>
      </w:pPr>
      <w:r>
        <w:t xml:space="preserve">8. Suggested sequencing</w:t>
      </w:r>
    </w:p>
    <w:p>
      <w:pPr>
        <w:pStyle w:val="ListParagraph"/>
        <w:numPr>
          <w:ilvl w:val="0"/>
          <w:numId w:val="2"/>
        </w:numPr>
        <w:spacing w:after="80"/>
      </w:pPr>
      <w:r>
        <w:t xml:space="preserve">Course page first: content delivery, the access/enrollment model (promo code, link, open-source join), and quizzes — the core loop everything else depends on.</w:t>
      </w:r>
    </w:p>
    <w:p>
      <w:pPr>
        <w:pStyle w:val="ListParagraph"/>
        <w:numPr>
          <w:ilvl w:val="0"/>
          <w:numId w:val="2"/>
        </w:numPr>
        <w:spacing w:after="80"/>
      </w:pPr>
      <w:r>
        <w:t xml:space="preserve">Security hardening early and in parallel — cheap, high value, should land before any public demo.</w:t>
      </w:r>
    </w:p>
    <w:p>
      <w:pPr>
        <w:pStyle w:val="ListParagraph"/>
        <w:numPr>
          <w:ilvl w:val="0"/>
          <w:numId w:val="2"/>
        </w:numPr>
        <w:spacing w:after="80"/>
      </w:pPr>
      <w:r>
        <w:t xml:space="preserve">Home, Resources, and Forum next — each depends on the open-source flag and activity data that come out of Course.</w:t>
      </w:r>
    </w:p>
    <w:p>
      <w:pPr>
        <w:pStyle w:val="ListParagraph"/>
        <w:numPr>
          <w:ilvl w:val="0"/>
          <w:numId w:val="2"/>
        </w:numPr>
        <w:spacing w:after="80"/>
      </w:pPr>
      <w:r>
        <w:t xml:space="preserve">Stand up the shared background job queue (Redis-backed) — covers both the translation scheduler and the Drive worker.</w:t>
      </w:r>
    </w:p>
    <w:p>
      <w:pPr>
        <w:pStyle w:val="ListParagraph"/>
        <w:numPr>
          <w:ilvl w:val="0"/>
          <w:numId w:val="2"/>
        </w:numPr>
        <w:spacing w:after="80"/>
      </w:pPr>
      <w:r>
        <w:t xml:space="preserve">Decide and execute the Google Drive worker migration (Phase 1 account) early, since it affects both cost and architecture downstream.</w:t>
      </w:r>
    </w:p>
    <w:p>
      <w:pPr>
        <w:pStyle w:val="ListParagraph"/>
        <w:numPr>
          <w:ilvl w:val="0"/>
          <w:numId w:val="2"/>
        </w:numPr>
        <w:spacing w:after="80"/>
      </w:pPr>
      <w:r>
        <w:t xml:space="preserve">Build the AI personal guide and subtitles once content is stable and clean — retrieval quality depends on well-structured source material.</w:t>
      </w:r>
    </w:p>
    <w:p>
      <w:pPr>
        <w:pStyle w:val="ListParagraph"/>
        <w:numPr>
          <w:ilvl w:val="0"/>
          <w:numId w:val="2"/>
        </w:numPr>
        <w:spacing w:after="80"/>
      </w:pPr>
      <w:r>
        <w:t xml:space="preserve">Add the AI audio overview on top of the same summarization pipeline.</w:t>
      </w:r>
    </w:p>
    <w:p>
      <w:pPr>
        <w:pStyle w:val="ListParagraph"/>
        <w:numPr>
          <w:ilvl w:val="0"/>
          <w:numId w:val="2"/>
        </w:numPr>
        <w:spacing w:after="80"/>
      </w:pPr>
      <w:r>
        <w:t xml:space="preserve">Stretch items (meetings, deeper AI features, paid enrollment) only if time remains.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2026-07-22T11:20:13.344Z</dcterms:created>
  <dcterms:modified xsi:type="dcterms:W3CDTF">2026-07-22T11:20:13.345Z</dcterms:modified>
</cp:coreProperties>
</file>

<file path=docProps/custom.xml><?xml version="1.0" encoding="utf-8"?>
<Properties xmlns="http://schemas.openxmlformats.org/officeDocument/2006/custom-properties" xmlns:vt="http://schemas.openxmlformats.org/officeDocument/2006/docPropsVTypes"/>
</file>