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24"/>
        </w:rPr>
        <w:t>Summary of Treatment-Emergent Adverse Events by System Organ Class and Preferred Term</w:t>
      </w:r>
    </w:p>
    <w:p>
      <w:pPr>
        <w:spacing w:after="160"/>
        <w:jc w:val="center"/>
      </w:pPr>
      <w:r>
        <w:rPr>
          <w:rFonts w:ascii="Arial" w:hAnsi="Arial"/>
          <w:sz w:val="18"/>
        </w:rPr>
        <w:t>Study XXXXXXX (Safety Population)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6120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System Organ Class / Preferred Term</w:t>
            </w:r>
          </w:p>
        </w:tc>
        <w:tc>
          <w:tcPr>
            <w:tcW w:type="dxa" w:w="2232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Placebo</w:t>
              <w:br/>
              <w:t>N=128</w:t>
            </w:r>
          </w:p>
        </w:tc>
        <w:tc>
          <w:tcPr>
            <w:tcW w:type="dxa" w:w="2232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Drug A</w:t>
              <w:br/>
              <w:t>N=128</w:t>
            </w:r>
          </w:p>
        </w:tc>
        <w:tc>
          <w:tcPr>
            <w:tcW w:type="dxa" w:w="2232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Drug B</w:t>
              <w:br/>
              <w:t>N=127</w:t>
            </w:r>
          </w:p>
        </w:tc>
        <w:tc>
          <w:tcPr>
            <w:tcW w:type="dxa" w:w="2232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Total</w:t>
              <w:br/>
              <w:t>N=383</w:t>
            </w:r>
          </w:p>
        </w:tc>
      </w:tr>
      <w:tr>
        <w:tc>
          <w:tcPr>
            <w:tcW w:type="dxa" w:w="6120"/>
            <w:vAlign w:val="center"/>
          </w:tcPr>
          <w:p>
            <w:pPr>
              <w:spacing w:before="40" w:after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Any TEAE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6120"/>
            <w:vAlign w:val="center"/>
          </w:tcPr>
          <w:p>
            <w:pPr>
              <w:spacing w:before="40" w:after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Gastrointestinal disorders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61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Nausea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61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Diarrhoea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61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Vomiting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6120"/>
            <w:vAlign w:val="center"/>
          </w:tcPr>
          <w:p>
            <w:pPr>
              <w:spacing w:before="40" w:after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Nervous system disorders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61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Headache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61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Dizziness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6120"/>
            <w:vAlign w:val="center"/>
          </w:tcPr>
          <w:p>
            <w:pPr>
              <w:spacing w:before="40" w:after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General disorders and administration site conditions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61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Fatigue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  <w:tr>
        <w:tc>
          <w:tcPr>
            <w:tcW w:type="dxa" w:w="612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 xml:space="preserve">    Pyrexia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x (x.x)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