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赛事运营行业与补给协同方案研究</w:t>
      </w:r>
    </w:p>
    <w:p>
      <w:pPr>
        <w:pStyle w:val="Subtitle"/>
      </w:pPr>
      <w:r>
        <w:t>面向赛事补给物资与站点协同项目的行业研判和开发建议</w:t>
      </w:r>
    </w:p>
    <w:p>
      <w:r>
        <w:rPr>
          <w:b w:val="0"/>
        </w:rPr>
        <w:t>研究截至 2026年10月23日   中国市场为主   国内外代表性平台对照</w:t>
      </w:r>
    </w:p>
    <w:p>
      <w:pPr>
        <w:pStyle w:val="Heading2"/>
      </w:pPr>
      <w:r>
        <w:t>建议先做一个能追溯来源的核对工具</w:t>
      </w:r>
    </w:p>
    <w:p>
      <w:r>
        <w:rPr>
          <w:b w:val="0"/>
        </w:rPr>
        <w:t>赛事运营具有持续的组织与协同需求，但对新项目而言，市场活跃并不直接意味着客户会为某个工具付费。你的可行切口是单批次补给单据的只读核对：上传需求、出库和签收资料，找出关联、单位与版本问题，再交给工作人员确认。这个方向与现有访谈材料吻合，也便于用虚构数据演示和验证。</w:t>
      </w:r>
      <w:r>
        <w:t xml:space="preserve"> </w:t>
      </w:r>
      <w:hyperlink r:id="rId10">
        <w:r>
          <w:rPr>
            <w:color w:val="175A86"/>
          </w:rPr>
          <w:t>[20]</w:t>
        </w:r>
      </w:hyperlink>
    </w:p>
    <w:p>
      <w:pPr>
        <w:pStyle w:val="Heading2"/>
      </w:pPr>
      <w:r>
        <w:t>行业现状有需求基础也有交付门槛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757"/>
            <w:vAlign w:val="center"/>
            <w:shd w:fill="2446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观察指标</w:t>
            </w:r>
          </w:p>
        </w:tc>
        <w:tc>
          <w:tcPr>
            <w:tcW w:type="dxa" w:w="3402"/>
            <w:vAlign w:val="center"/>
            <w:shd w:fill="2446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已发布数据</w:t>
            </w:r>
          </w:p>
        </w:tc>
        <w:tc>
          <w:tcPr>
            <w:tcW w:type="dxa" w:w="4479"/>
            <w:vAlign w:val="center"/>
            <w:shd w:fill="2446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应如何理解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体育产业背景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2024年总产出38421亿元</w:t>
              <w:br/>
              <w:t>增加值16033亿元</w:t>
            </w:r>
          </w:p>
        </w:tc>
        <w:tc>
          <w:tcPr>
            <w:tcW w:type="dxa" w:w="44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覆盖整个体育产业，不能当作赛事运营或补给软件市场规模。[1]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马拉松活动供给</w:t>
            </w:r>
          </w:p>
        </w:tc>
        <w:tc>
          <w:tcPr>
            <w:tcW w:type="dxa" w:w="340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2025年594场马拉松赛事</w:t>
              <w:br/>
              <w:t>全程235场 半程359场</w:t>
            </w:r>
          </w:p>
        </w:tc>
        <w:tc>
          <w:tcPr>
            <w:tcW w:type="dxa" w:w="4479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反映路跑组织需求，范围不等于所有体育赛事。[2]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服务标准化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2026年发布路跑大众选手</w:t>
              <w:br/>
              <w:t>健康风险防控专项标准</w:t>
            </w:r>
          </w:p>
        </w:tc>
        <w:tc>
          <w:tcPr>
            <w:tcW w:type="dxa" w:w="44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说明保障流程和责任记录越来越重要；工具不能替代现场专业判断。[3]</w:t>
            </w:r>
          </w:p>
        </w:tc>
      </w:tr>
    </w:tbl>
    <w:p>
      <w:pPr>
        <w:spacing w:after="20"/>
      </w:pPr>
    </w:p>
    <w:p>
      <w:pPr>
        <w:pStyle w:val="Heading2"/>
      </w:pPr>
      <w:r>
        <w:t>推荐采用的组合</w:t>
      </w:r>
    </w:p>
    <w:p>
      <w:r>
        <w:rPr>
          <w:b w:val="0"/>
        </w:rPr>
        <w:t>开发用 Streamlit 加 pandas；业务设计借鉴 OpenSplitTime 的原始记录与复核机制，以及 ERPNext 的单位和库存核对思路。Lark 或 Airtable 可用于先画清表结构和责任流程。整套赛事计时平台与大型 ERP 对当前原型过重。这里的取舍是面向本项目的建议。</w:t>
      </w:r>
      <w:r>
        <w:t xml:space="preserve"> </w:t>
      </w:r>
      <w:hyperlink r:id="rId11">
        <w:r>
          <w:rPr>
            <w:color w:val="175A86"/>
          </w:rPr>
          <w:t>[5]</w:t>
        </w:r>
      </w:hyperlink>
      <w:hyperlink r:id="rId12">
        <w:r>
          <w:rPr>
            <w:color w:val="175A86"/>
          </w:rPr>
          <w:t>[8]</w:t>
        </w:r>
      </w:hyperlink>
      <w:hyperlink r:id="rId13">
        <w:r>
          <w:rPr>
            <w:color w:val="175A86"/>
          </w:rPr>
          <w:t>[9]</w:t>
        </w:r>
      </w:hyperlink>
      <w:hyperlink r:id="rId14">
        <w:r>
          <w:rPr>
            <w:color w:val="175A86"/>
          </w:rPr>
          <w:t>[15]</w:t>
        </w:r>
      </w:hyperlink>
      <w:hyperlink r:id="rId15">
        <w:r>
          <w:rPr>
            <w:color w:val="175A86"/>
          </w:rPr>
          <w:t>[16]</w:t>
        </w:r>
      </w:hyperlink>
      <w:hyperlink r:id="rId16">
        <w:r>
          <w:rPr>
            <w:color w:val="175A86"/>
          </w:rPr>
          <w:t>[17]</w:t>
        </w:r>
      </w:hyperlink>
      <w:hyperlink r:id="rId17">
        <w:r>
          <w:rPr>
            <w:color w:val="175A86"/>
          </w:rPr>
          <w:t>[18]</w:t>
        </w:r>
      </w:hyperlink>
    </w:p>
    <w:p>
      <w:pPr>
        <w:pStyle w:val="Heading2"/>
      </w:pPr>
      <w:r>
        <w:t>阅读导航</w:t>
      </w:r>
    </w:p>
    <w:p>
      <w:r>
        <w:rPr>
          <w:b w:val="0"/>
        </w:rPr>
        <w:t>第2页看行业与机会，第3页看访谈资料，第4至6页看开源、商业平台及可借鉴经验，第7至8页看产品设计与推进步骤，第9至10页为可点击来源。</w:t>
      </w:r>
    </w:p>
    <w:p>
      <w:r>
        <w:br w:type="page"/>
      </w:r>
    </w:p>
    <w:p>
      <w:pPr>
        <w:pStyle w:val="Heading1"/>
      </w:pPr>
      <w:r>
        <w:t>一 行业现状与项目机会</w:t>
      </w:r>
    </w:p>
    <w:p>
      <w:pPr>
        <w:pStyle w:val="Heading2"/>
      </w:pPr>
      <w:r>
        <w:t>规模存在但不能用大行业数字证明小工具市场</w:t>
      </w:r>
    </w:p>
    <w:p>
      <w:r>
        <w:rPr>
          <w:b w:val="0"/>
        </w:rPr>
        <w:t>国家体育总局和国家统计局公告显示，2024年体育产业增加值占GDP的1.19%，体育服务业占体育产业增加值的72.0%。这些数据支持体育服务具有一定经济体量，但未单列“赛事补给协同软件”的市场规模，也没有给出该类软件的付费率。</w:t>
      </w:r>
      <w:r>
        <w:t xml:space="preserve"> </w:t>
      </w:r>
      <w:hyperlink r:id="rId18">
        <w:r>
          <w:rPr>
            <w:color w:val="175A86"/>
          </w:rPr>
          <w:t>[1]</w:t>
        </w:r>
      </w:hyperlink>
    </w:p>
    <w:p>
      <w:r>
        <w:rPr>
          <w:b w:val="0"/>
        </w:rPr>
        <w:t>2025年马拉松赛事蓝皮书公开摘要列出：全程项目参赛124.4万人次、半程329.69万人次。284场A类认证赛事的直接经济影响测算为185.1亿元。这些属于不同统计对象；经济影响包含多种消费与活动，不能视为运营公司收入或软件可获得收入。</w:t>
      </w:r>
      <w:r>
        <w:t xml:space="preserve"> </w:t>
      </w:r>
      <w:hyperlink r:id="rId19">
        <w:r>
          <w:rPr>
            <w:color w:val="175A86"/>
          </w:rPr>
          <w:t>[2]</w:t>
        </w:r>
      </w:hyperlink>
    </w:p>
    <w:p>
      <w:pPr>
        <w:pStyle w:val="Heading2"/>
      </w:pPr>
      <w:r>
        <w:t>行业正在强化专业化和服务保障</w:t>
      </w:r>
    </w:p>
    <w:p>
      <w:r>
        <w:rPr>
          <w:b w:val="0"/>
        </w:rPr>
        <w:t>国家体育总局2026年关于新标准的报道强调赛前、赛中、赛后的风险防控与岗位协作。对本项目的启示是：明确记录来源、岗位责任、异常转交和人工确认，比单纯增加自动化更有交付意义。这是根据行业方向做出的产品判断。</w:t>
      </w:r>
      <w:r>
        <w:t xml:space="preserve"> </w:t>
      </w:r>
      <w:hyperlink r:id="rId20">
        <w:r>
          <w:rPr>
            <w:color w:val="175A86"/>
          </w:rPr>
          <w:t>[3]</w:t>
        </w:r>
      </w:hyperlink>
    </w:p>
    <w:p>
      <w:pPr>
        <w:pStyle w:val="Heading2"/>
      </w:pPr>
      <w:r>
        <w:t>赛事价值链中的位置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701"/>
            <w:vAlign w:val="center"/>
            <w:shd w:fill="2446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4082"/>
            <w:vAlign w:val="center"/>
            <w:shd w:fill="2446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常见工作</w:t>
            </w:r>
          </w:p>
        </w:tc>
        <w:tc>
          <w:tcPr>
            <w:tcW w:type="dxa" w:w="3855"/>
            <w:vAlign w:val="center"/>
            <w:shd w:fill="2446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本项目是否优先覆盖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赛前筹备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预算、报名、站点和物资计划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覆盖物资计划的只读核对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赛中运行</w:t>
            </w:r>
          </w:p>
        </w:tc>
        <w:tc>
          <w:tcPr>
            <w:tcW w:type="dxa" w:w="408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出库、配送、签收、站点反馈</w:t>
            </w:r>
          </w:p>
        </w:tc>
        <w:tc>
          <w:tcPr>
            <w:tcW w:type="dxa" w:w="3855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覆盖单据差异与来源展示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赛后收尾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余料回收、对账、问题复盘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保留数据结构，后续扩展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专业保障</w:t>
            </w:r>
          </w:p>
        </w:tc>
        <w:tc>
          <w:tcPr>
            <w:tcW w:type="dxa" w:w="408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医疗、安保、应急与食品安全</w:t>
            </w:r>
          </w:p>
        </w:tc>
        <w:tc>
          <w:tcPr>
            <w:tcW w:type="dxa" w:w="3855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交由具备职责的人员处理</w:t>
            </w:r>
          </w:p>
        </w:tc>
      </w:tr>
    </w:tbl>
    <w:p>
      <w:pPr>
        <w:spacing w:after="20"/>
      </w:pPr>
    </w:p>
    <w:p>
      <w:pPr>
        <w:pStyle w:val="Heading2"/>
      </w:pPr>
      <w:r>
        <w:t>商业机会需要这样验证</w:t>
      </w:r>
    </w:p>
    <w:p>
      <w:r>
        <w:rPr>
          <w:b w:val="0"/>
        </w:rPr>
        <w:t>优先接触赛事运营团队的物资负责人、仓库协调员和站点负责人。请对方拿最近一批资料说明核对动作，观察一次变更如何传递，再验证是否愿意用原型完成同样工作。潜在付款方可能是运营公司或承办团队，但这仍是假设，不能仅凭访谈角色名称认定采购关系。</w:t>
      </w:r>
    </w:p>
    <w:p>
      <w:r>
        <w:rPr>
          <w:b w:val="0"/>
        </w:rPr>
        <w:t>建议记录每批核对耗时、返工原因、站点数、资料格式及谁能决定采购。尝试分别询问按场次付费、年度服务和定制交付的接受程度；目前不推算营收，也不承诺节省比例。</w:t>
      </w:r>
    </w:p>
    <w:p>
      <w:r>
        <w:br w:type="page"/>
      </w:r>
    </w:p>
    <w:p>
      <w:pPr>
        <w:pStyle w:val="Heading1"/>
      </w:pPr>
      <w:r>
        <w:t>二 现有访谈资料的作用</w:t>
      </w:r>
    </w:p>
    <w:p>
      <w:r>
        <w:rPr>
          <w:b w:val="0"/>
        </w:rPr>
        <w:t>你提供的报告覆盖六个虚构角色、36条演练事实，生成了6项候选需求。这份资料可以用来约束开发范围、设计字段、形成测试用例和安排下一轮确认，但不能证明真实企业存在相同问题或愿意采购。</w:t>
      </w:r>
      <w:r>
        <w:t xml:space="preserve"> </w:t>
      </w:r>
      <w:hyperlink r:id="rId10">
        <w:r>
          <w:rPr>
            <w:color w:val="175A86"/>
          </w:rPr>
          <w:t>[20]</w:t>
        </w:r>
      </w:hyperlink>
    </w:p>
    <w:p>
      <w:pPr>
        <w:pStyle w:val="Heading2"/>
      </w:pPr>
      <w:r>
        <w:t>资料明确的核心问题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701"/>
            <w:vAlign w:val="center"/>
            <w:shd w:fill="2446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证据编号</w:t>
            </w:r>
          </w:p>
        </w:tc>
        <w:tc>
          <w:tcPr>
            <w:tcW w:type="dxa" w:w="4252"/>
            <w:vAlign w:val="center"/>
            <w:shd w:fill="2446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报告内容</w:t>
            </w:r>
          </w:p>
        </w:tc>
        <w:tc>
          <w:tcPr>
            <w:tcW w:type="dxa" w:w="3685"/>
            <w:vAlign w:val="center"/>
            <w:shd w:fill="2446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对应开发任务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f30 f31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跨工具缺关联编号，关键字段口径需对齐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设计站点、配送批次、物资与来源编号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f50 f53</w:t>
            </w:r>
          </w:p>
        </w:tc>
        <w:tc>
          <w:tcPr>
            <w:tcW w:type="dxa" w:w="425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仓库按箱、站点按份，不能只比汇总表</w:t>
            </w:r>
          </w:p>
        </w:tc>
        <w:tc>
          <w:tcPr>
            <w:tcW w:type="dxa" w:w="3685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建立有依据、有版本的单位换算规则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f23 f24 f25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交接缺版本和未确认项，责任转移不清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保留版本有效期、确认状态与责任清单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f15 f33</w:t>
            </w:r>
          </w:p>
        </w:tc>
        <w:tc>
          <w:tcPr>
            <w:tcW w:type="dxa" w:w="425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需要一页缺项清单，并保留问题原行</w:t>
            </w:r>
          </w:p>
        </w:tc>
        <w:tc>
          <w:tcPr>
            <w:tcW w:type="dxa" w:w="3685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输出问题、文件名、行号和原始值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f32 f41 f44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仅只读导出，正式结论需授权人员确认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只读输入、人工复核、无法判断不默认通过</w:t>
            </w:r>
          </w:p>
        </w:tc>
      </w:tr>
    </w:tbl>
    <w:p>
      <w:pPr>
        <w:spacing w:after="20"/>
      </w:pPr>
    </w:p>
    <w:p>
      <w:r>
        <w:rPr>
          <w:b w:val="0"/>
        </w:rPr>
        <w:t>本页所有 fNN 均指报告中的 dlg-sports-supplies-fNN。上表是项目解读，不是新增业务事实。</w:t>
      </w:r>
      <w:r>
        <w:t xml:space="preserve"> </w:t>
      </w:r>
      <w:hyperlink r:id="rId10">
        <w:r>
          <w:rPr>
            <w:color w:val="175A86"/>
          </w:rPr>
          <w:t>[20]</w:t>
        </w:r>
      </w:hyperlink>
    </w:p>
    <w:p>
      <w:pPr>
        <w:pStyle w:val="Heading2"/>
      </w:pPr>
      <w:r>
        <w:t>三个数字不能混用</w:t>
      </w:r>
    </w:p>
    <w:p>
      <w:r>
        <w:rPr>
          <w:b w:val="0"/>
        </w:rPr>
        <w:t>36/36 是事实采集覆盖率；60条是报告提出的验收样本目标；12个站点、80条记录、核对3小时是角色给出的虚构基线。60条和80条的原始数据均尚未提供。仓库原有两行CSV是自行编写的演示数据，不能冒充上述样本或效果证据。</w:t>
      </w:r>
      <w:r>
        <w:t xml:space="preserve"> </w:t>
      </w:r>
      <w:hyperlink r:id="rId10">
        <w:r>
          <w:rPr>
            <w:color w:val="175A86"/>
          </w:rPr>
          <w:t>[20]</w:t>
        </w:r>
      </w:hyperlink>
    </w:p>
    <w:p>
      <w:pPr>
        <w:pStyle w:val="Heading2"/>
      </w:pPr>
      <w:r>
        <w:t>开发前仍需确定的事项</w:t>
      </w:r>
    </w:p>
    <w:p>
      <w:r>
        <w:rPr>
          <w:b w:val="0"/>
        </w:rPr>
        <w:t>先确认配送批次范围、关联键、箱与份的具体换算依据、允许的部分配送情形、版本有效性规则和具名确认人。其次确定导出频率、过期阈值、留存期限与异常升级路径。报告的 gaps 为空只表示预设事实采集完成，analysis.followUps 仍保留8项待确认问题。</w:t>
      </w:r>
      <w:r>
        <w:t xml:space="preserve"> </w:t>
      </w:r>
      <w:hyperlink r:id="rId10">
        <w:r>
          <w:rPr>
            <w:color w:val="175A86"/>
          </w:rPr>
          <w:t>[20]</w:t>
        </w:r>
      </w:hyperlink>
    </w:p>
    <w:p>
      <w:r>
        <w:rPr>
          <w:b w:val="0"/>
        </w:rPr>
        <w:t>现有仓库只有内存版创建需求、派单和签收演示。下一版应围绕只读核对重新组织功能；旧演示可保留作学习示例，不能作为已接入真实调度系统的证明。</w:t>
      </w:r>
    </w:p>
    <w:p>
      <w:r>
        <w:br w:type="page"/>
      </w:r>
    </w:p>
    <w:p>
      <w:pPr>
        <w:pStyle w:val="Heading1"/>
      </w:pPr>
      <w:r>
        <w:t>三 GitHub 上可利用的方案</w:t>
      </w:r>
    </w:p>
    <w:p>
      <w:pPr>
        <w:pStyle w:val="Heading2"/>
      </w:pPr>
      <w:r>
        <w:t>完整系统适合学习业务模型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268"/>
            <w:vAlign w:val="center"/>
            <w:shd w:fill="2446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项目与来源</w:t>
            </w:r>
          </w:p>
        </w:tc>
        <w:tc>
          <w:tcPr>
            <w:tcW w:type="dxa" w:w="3402"/>
            <w:vAlign w:val="center"/>
            <w:shd w:fill="2446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可借鉴能力</w:t>
            </w:r>
          </w:p>
        </w:tc>
        <w:tc>
          <w:tcPr>
            <w:tcW w:type="dxa" w:w="3969"/>
            <w:vAlign w:val="center"/>
            <w:shd w:fill="2446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本项目的使用建议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OpenSplitTime [4–6]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耐力赛事、站点总览、异常记录、原始数据和复核信息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最接近站点协作体验；主要是运动员计时数据，不是物资配送系统。学流程，暂不迁移Ruby Rails整站。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ERPNext [7–9]</w:t>
            </w:r>
          </w:p>
        </w:tc>
        <w:tc>
          <w:tcPr>
            <w:tcW w:type="dxa" w:w="340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库存核对、CSV导入、仓库物资编码和单位换算</w:t>
            </w:r>
          </w:p>
        </w:tc>
        <w:tc>
          <w:tcPr>
            <w:tcW w:type="dxa" w:w="3969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物资数据模型最有参考价值；整套ERP较重，先参考文档。库存调整会写台账，当前只读原型不启用该动作。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InvenTree [10]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Python Django库存后台、REST API和插件扩展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若以后发展成长期库存管理可评估；不是专门的赛事站点应用。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pretix [11–12]</w:t>
            </w:r>
          </w:p>
        </w:tc>
        <w:tc>
          <w:tcPr>
            <w:tcW w:type="dxa" w:w="340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活动票务、核验及局域网离线代理</w:t>
            </w:r>
          </w:p>
        </w:tc>
        <w:tc>
          <w:tcPr>
            <w:tcW w:type="dxa" w:w="3969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借鉴断网和多设备一致性；票务核验不能直接替代补给交接。</w:t>
            </w:r>
          </w:p>
        </w:tc>
      </w:tr>
    </w:tbl>
    <w:p>
      <w:pPr>
        <w:spacing w:after="20"/>
      </w:pPr>
    </w:p>
    <w:p>
      <w:pPr>
        <w:pStyle w:val="Heading2"/>
      </w:pPr>
      <w:r>
        <w:t>组件适合直接加入当前 Python 仓库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268"/>
            <w:vAlign w:val="center"/>
            <w:shd w:fill="2446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402"/>
            <w:vAlign w:val="center"/>
            <w:shd w:fill="2446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承担工作</w:t>
            </w:r>
          </w:p>
        </w:tc>
        <w:tc>
          <w:tcPr>
            <w:tcW w:type="dxa" w:w="3969"/>
            <w:vAlign w:val="center"/>
            <w:shd w:fill="2446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第一版取舍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Streamlit [17]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上传、表格展示、交互和报告入口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优先采用，保留独立业务模块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pandas [18]</w:t>
            </w:r>
          </w:p>
        </w:tc>
        <w:tc>
          <w:tcPr>
            <w:tcW w:type="dxa" w:w="340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读取CSV与Excel，合并、分组和比较</w:t>
            </w:r>
          </w:p>
        </w:tc>
        <w:tc>
          <w:tcPr>
            <w:tcW w:type="dxa" w:w="3969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优先采用，原始输入与标准化数据分开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Pandera [19]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字段类型、必填和自定义数据校验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规则增多后使用，避免重复写校验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DataComPy [19]</w:t>
            </w:r>
          </w:p>
        </w:tc>
        <w:tc>
          <w:tcPr>
            <w:tcW w:type="dxa" w:w="340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按关联字段比较两份表格并生成差异报告</w:t>
            </w:r>
          </w:p>
        </w:tc>
        <w:tc>
          <w:tcPr>
            <w:tcW w:type="dxa" w:w="3969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按需采用；单位换算和版本判断仍自己实现</w:t>
            </w:r>
          </w:p>
        </w:tc>
      </w:tr>
    </w:tbl>
    <w:p>
      <w:pPr>
        <w:spacing w:after="20"/>
      </w:pPr>
    </w:p>
    <w:p>
      <w:r>
        <w:rPr>
          <w:b w:val="0"/>
        </w:rPr>
        <w:t>源码可读不等于可以随意复制。ERPNext仓库标注GPL 3.0；OpenSplitTime和InvenTree标注MIT；Streamlit和DataComPy标注Apache 2.0，Pandera标注MIT。正式引入应记录所用版本、许可证及第三方素材，特别留意整站素材可能另有授权。</w:t>
      </w:r>
      <w:r>
        <w:t xml:space="preserve"> </w:t>
      </w:r>
      <w:hyperlink r:id="rId21">
        <w:r>
          <w:rPr>
            <w:color w:val="175A86"/>
          </w:rPr>
          <w:t>[4]</w:t>
        </w:r>
      </w:hyperlink>
      <w:hyperlink r:id="rId22">
        <w:r>
          <w:rPr>
            <w:color w:val="175A86"/>
          </w:rPr>
          <w:t>[7]</w:t>
        </w:r>
      </w:hyperlink>
      <w:hyperlink r:id="rId23">
        <w:r>
          <w:rPr>
            <w:color w:val="175A86"/>
          </w:rPr>
          <w:t>[10]</w:t>
        </w:r>
      </w:hyperlink>
      <w:hyperlink r:id="rId16">
        <w:r>
          <w:rPr>
            <w:color w:val="175A86"/>
          </w:rPr>
          <w:t>[17]</w:t>
        </w:r>
      </w:hyperlink>
      <w:hyperlink r:id="rId24">
        <w:r>
          <w:rPr>
            <w:color w:val="175A86"/>
          </w:rPr>
          <w:t>[19]</w:t>
        </w:r>
      </w:hyperlink>
    </w:p>
    <w:p>
      <w:r>
        <w:br w:type="page"/>
      </w:r>
    </w:p>
    <w:p>
      <w:pPr>
        <w:pStyle w:val="Heading1"/>
      </w:pPr>
      <w:r>
        <w:t>四 商业和低代码平台的经验</w:t>
      </w:r>
    </w:p>
    <w:p>
      <w:r>
        <w:rPr>
          <w:b w:val="0"/>
        </w:rPr>
        <w:t>以下是官方页面描述的能力对照，属于产品资料层面的核验；不把宣传文字或模板当作已独立验证的节省成本案例，也不据此确认其适用于中国客户的具体套餐、接口权限或数据部署要求。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381"/>
            <w:vAlign w:val="center"/>
            <w:shd w:fill="2446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3628"/>
            <w:vAlign w:val="center"/>
            <w:shd w:fill="2446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已公开的能力</w:t>
            </w:r>
          </w:p>
        </w:tc>
        <w:tc>
          <w:tcPr>
            <w:tcW w:type="dxa" w:w="3628"/>
            <w:vAlign w:val="center"/>
            <w:shd w:fill="2446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值得借鉴的做法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RunSignup RaceDay</w:t>
              <w:br/>
              <w:t>RaceJoy [13]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先把RaceJoy计时点映射到RaceDay位置，再确认和保存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跨系统先对齐站点标识再同步；对应你的站点与配送批次映射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MYLAPS [14]</w:t>
            </w:r>
          </w:p>
        </w:tc>
        <w:tc>
          <w:tcPr>
            <w:tcW w:type="dxa" w:w="3628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官方开发入口提供Cloud Timing和Sporthive API方向</w:t>
            </w:r>
          </w:p>
        </w:tc>
        <w:tc>
          <w:tcPr>
            <w:tcW w:type="dxa" w:w="3628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按业务对象定义接口；接口存在不代表当前项目获得访问授权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Lark Base [15]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库存模板包括物资标识、数量、位置等字段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先验证表结构和责任视图；中国大陆飞书需另核功能与权限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Airtable [16]</w:t>
            </w:r>
          </w:p>
        </w:tc>
        <w:tc>
          <w:tcPr>
            <w:tcW w:type="dxa" w:w="3628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库存跟踪模板用于物资、成本和供应信息整理</w:t>
            </w:r>
          </w:p>
        </w:tc>
        <w:tc>
          <w:tcPr>
            <w:tcW w:type="dxa" w:w="3628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用关联表快速验证流程；高级核对与审计要求仍需实现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pretixSCAN Proxy [12]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局域网代理集中缓存，减少多离线设备独立核验问题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先设计断网策略与重复操作检测，再考虑实时系统</w:t>
            </w:r>
          </w:p>
        </w:tc>
      </w:tr>
    </w:tbl>
    <w:p>
      <w:pPr>
        <w:spacing w:after="20"/>
      </w:pPr>
    </w:p>
    <w:p>
      <w:pPr>
        <w:pStyle w:val="Heading2"/>
      </w:pPr>
      <w:r>
        <w:t>低代码路线什么时候值得用</w:t>
      </w:r>
    </w:p>
    <w:p>
      <w:r>
        <w:rPr>
          <w:b w:val="0"/>
        </w:rPr>
        <w:t>如果当前目标是让业务人员确认字段和流程，可先在已有的协作表格环境建物资、站点、批次和问题四张关联表，再进行一次人工演练。若目标是展示你自己的工程实现，继续使用GitHub仓库开发Streamlit网页更合适。两条路线可以共用字段定义和测试样例。</w:t>
      </w:r>
    </w:p>
    <w:p>
      <w:pPr>
        <w:pStyle w:val="Heading2"/>
      </w:pPr>
      <w:r>
        <w:t>代码托管平台不等于业务解决方案</w:t>
      </w:r>
    </w:p>
    <w:p>
      <w:r>
        <w:rPr>
          <w:b w:val="0"/>
        </w:rPr>
        <w:t>GitHub、Gitee和GitLab主要提供代码与协作渠道。选型应跟随项目本身的文档、许可证、测试和维护证据；镜像、课程作业与截图不能单独证明生产可用。本次建议优先依据上表官方项目和产品资料，不按平台数量凑选型。</w:t>
      </w:r>
    </w:p>
    <w:p>
      <w:r>
        <w:rPr>
          <w:b w:val="0"/>
        </w:rPr>
        <w:t>对你的项目，商业平台主要提供流程与交互参照。现阶段没有必要购买芯片计时设备、支付系统或大型ERP来完成补给表格核对演示。此判断基于当前单批次原型范围。</w:t>
      </w:r>
    </w:p>
    <w:p>
      <w:r>
        <w:br w:type="page"/>
      </w:r>
    </w:p>
    <w:p>
      <w:pPr>
        <w:pStyle w:val="Heading1"/>
      </w:pPr>
      <w:r>
        <w:t>五 可以照着落地的实践经验</w:t>
      </w:r>
    </w:p>
    <w:p>
      <w:pPr>
        <w:pStyle w:val="Heading2"/>
      </w:pPr>
      <w:r>
        <w:t>原始记录和确认结果分开保存</w:t>
      </w:r>
    </w:p>
    <w:p>
      <w:r>
        <w:rPr>
          <w:b w:val="0"/>
        </w:rPr>
        <w:t>OpenSplitTime把原始计时数据与用于展示的结果区分，并记录来源、创建时间及是否由谁复核。迁移到补给核对时，应保留导入原行、文件标识和标准化值，再单独存问题与确认记录。发现错误后建立修订记录，不直接覆盖原始文件。</w:t>
      </w:r>
      <w:r>
        <w:t xml:space="preserve"> </w:t>
      </w:r>
      <w:hyperlink r:id="rId11">
        <w:r>
          <w:rPr>
            <w:color w:val="175A86"/>
          </w:rPr>
          <w:t>[5]</w:t>
        </w:r>
      </w:hyperlink>
    </w:p>
    <w:p>
      <w:pPr>
        <w:pStyle w:val="Heading2"/>
      </w:pPr>
      <w:r>
        <w:t>单位转换必须有适用范围</w:t>
      </w:r>
    </w:p>
    <w:p>
      <w:r>
        <w:rPr>
          <w:b w:val="0"/>
        </w:rPr>
        <w:t>ERPNext把单位名称和换算因子作为明确数据管理。你的“箱换份”还应按物资和包装规格区分，记录规则来源、有效期与版本。不要统一写死“一箱等于若干份”；缺规则、存在多个有效规则或单位无法对应时，应标为无法判断并转人工。后半部分为本项目设计建议。</w:t>
      </w:r>
      <w:r>
        <w:t xml:space="preserve"> </w:t>
      </w:r>
      <w:hyperlink r:id="rId13">
        <w:r>
          <w:rPr>
            <w:color w:val="175A86"/>
          </w:rPr>
          <w:t>[9]</w:t>
        </w:r>
      </w:hyperlink>
      <w:hyperlink r:id="rId10">
        <w:r>
          <w:rPr>
            <w:color w:val="175A86"/>
          </w:rPr>
          <w:t>[20]</w:t>
        </w:r>
      </w:hyperlink>
    </w:p>
    <w:p>
      <w:pPr>
        <w:pStyle w:val="Heading2"/>
      </w:pPr>
      <w:r>
        <w:t>总览可以简短但必须能下钻</w:t>
      </w:r>
    </w:p>
    <w:p>
      <w:r>
        <w:rPr>
          <w:b w:val="0"/>
        </w:rPr>
        <w:t>OpenSplitTime支持从站点总览进入详情并定位原始记录。你的主页可显示受影响站点、待复核条数和问题类别，点击后查看两侧原值与来源。数量差异应附计算单位和规则版本。</w:t>
      </w:r>
      <w:r>
        <w:t xml:space="preserve"> </w:t>
      </w:r>
      <w:hyperlink r:id="rId11">
        <w:r>
          <w:rPr>
            <w:color w:val="175A86"/>
          </w:rPr>
          <w:t>[5]</w:t>
        </w:r>
      </w:hyperlink>
    </w:p>
    <w:p>
      <w:pPr>
        <w:pStyle w:val="Heading2"/>
      </w:pPr>
      <w:r>
        <w:t>离线与实时要诚实表达</w:t>
      </w:r>
    </w:p>
    <w:p>
      <w:r>
        <w:rPr>
          <w:b w:val="0"/>
        </w:rPr>
        <w:t>OST Remote要求在有网络时完成授权和数据下载，随后才能离线录入；pretix代理则把同一局域网下的核验集中处理。由此可借鉴：先完成快照读取与时间标记，断网时明确显示快照时间，重新联网后检测重复与冲突。离线可操作不代表跨设备实时一致。</w:t>
      </w:r>
      <w:r>
        <w:t xml:space="preserve"> </w:t>
      </w:r>
      <w:hyperlink r:id="rId25">
        <w:r>
          <w:rPr>
            <w:color w:val="175A86"/>
          </w:rPr>
          <w:t>[6]</w:t>
        </w:r>
      </w:hyperlink>
      <w:hyperlink r:id="rId26">
        <w:r>
          <w:rPr>
            <w:color w:val="175A86"/>
          </w:rPr>
          <w:t>[12]</w:t>
        </w:r>
      </w:hyperlink>
    </w:p>
    <w:p>
      <w:pPr>
        <w:pStyle w:val="Heading2"/>
      </w:pPr>
      <w:r>
        <w:t>规则检查和业务确认是两种状态</w:t>
      </w:r>
    </w:p>
    <w:p>
      <w:r>
        <w:rPr>
          <w:b w:val="0"/>
        </w:rPr>
        <w:t>报告要求无法确认时进入人工队列。因此界面应区分“规则检查未发现问题”“尚无法核对”“问题待复核”“人工已确认”，不能把未发现差异显示为业务审批通过。记录问题处理人、时间、意见与依据，并与具体数据版本绑定。</w:t>
      </w:r>
      <w:r>
        <w:t xml:space="preserve"> </w:t>
      </w:r>
      <w:hyperlink r:id="rId10">
        <w:r>
          <w:rPr>
            <w:color w:val="175A86"/>
          </w:rPr>
          <w:t>[20]</w:t>
        </w:r>
      </w:hyperlink>
    </w:p>
    <w:p>
      <w:pPr>
        <w:pStyle w:val="Heading2"/>
      </w:pPr>
      <w:r>
        <w:t>先复现一个完整案例</w:t>
      </w:r>
    </w:p>
    <w:p>
      <w:r>
        <w:rPr>
          <w:b w:val="0"/>
        </w:rPr>
        <w:t>建议选择“站点追加物资后，配送单仍引用旧版需求”作为演示主线。让用户从总览看到异常，打开原行确认差异，再记录处理意见并导出清单。能解释一条异常的来龙去脉，比展示大量没有来源的图表更能证明方案价值。</w:t>
      </w:r>
    </w:p>
    <w:p>
      <w:r>
        <w:br w:type="page"/>
      </w:r>
    </w:p>
    <w:p>
      <w:pPr>
        <w:pStyle w:val="Heading1"/>
      </w:pPr>
      <w:r>
        <w:t>六 建议开发的第一版产品</w:t>
      </w:r>
    </w:p>
    <w:p>
      <w:r>
        <w:rPr>
          <w:b w:val="0"/>
        </w:rPr>
        <w:t>产品定位：帮助赛事物资协调人员核对一个批次的需求、出库和签收资料，输出有来源的差异清单，并保存人工复核意见。建议提供“加载演示数据”入口，让首次使用者不用准备表格也能走通流程。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757"/>
            <w:vAlign w:val="center"/>
            <w:shd w:fill="2446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252"/>
            <w:vAlign w:val="center"/>
            <w:shd w:fill="2446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最小功能</w:t>
            </w:r>
          </w:p>
        </w:tc>
        <w:tc>
          <w:tcPr>
            <w:tcW w:type="dxa" w:w="3628"/>
            <w:vAlign w:val="center"/>
            <w:shd w:fill="2446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验证要点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输入与模板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需求、出库、签收表与换算规则表；先CSV后Excel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列名、数据类型和编码错误能明确提示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关联与核对</w:t>
            </w:r>
          </w:p>
        </w:tc>
        <w:tc>
          <w:tcPr>
            <w:tcW w:type="dxa" w:w="425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关键字段、重复、缺关联、单位和版本检查</w:t>
            </w:r>
          </w:p>
        </w:tc>
        <w:tc>
          <w:tcPr>
            <w:tcW w:type="dxa" w:w="3628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先检查关联唯一性，禁止直接多对多合并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问题清单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问题编号、类型、两侧原值、来源文件和行号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每条结果可回到原始记录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人工复核</w:t>
            </w:r>
          </w:p>
        </w:tc>
        <w:tc>
          <w:tcPr>
            <w:tcW w:type="dxa" w:w="425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待复核、需补资料、已确认；记录意见与人员</w:t>
            </w:r>
          </w:p>
        </w:tc>
        <w:tc>
          <w:tcPr>
            <w:tcW w:type="dxa" w:w="3628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数据版本变化后重新标记复核状态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结果导出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问题CSV与本次核对摘要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包含规则版本、样本标识和生成时间</w:t>
            </w:r>
          </w:p>
        </w:tc>
      </w:tr>
    </w:tbl>
    <w:p>
      <w:pPr>
        <w:spacing w:after="20"/>
      </w:pPr>
    </w:p>
    <w:p>
      <w:pPr>
        <w:pStyle w:val="Heading2"/>
      </w:pPr>
      <w:r>
        <w:t>先把关联粒度说清楚</w:t>
      </w:r>
    </w:p>
    <w:p>
      <w:r>
        <w:rPr>
          <w:b w:val="0"/>
        </w:rPr>
        <w:t>建议区分赛事编号、配送批次编号和物资生产批号，避免三个概念都叫“批次”。每行给独立明细编号，关联到需求行与出库行；允许多次配送或部分签收时按明确规则累计。同一站点同一物资出现多行可能是正常分批，不能一概判为重复。具体粒度需要用样例确认。</w:t>
      </w:r>
    </w:p>
    <w:p>
      <w:pPr>
        <w:pStyle w:val="Heading2"/>
      </w:pPr>
      <w:r>
        <w:t>核对规则需要时间与上下文</w:t>
      </w:r>
    </w:p>
    <w:p>
      <w:r>
        <w:rPr>
          <w:b w:val="0"/>
        </w:rPr>
        <w:t>需求与出库、出库与签收分别比较；尚未到签收截止时间的缺记录显示待确认。单位未统一时不计算数量差；版本先检查确认状态与有效期，不能按文件名或编号最大值自动认定最新版。业务发生时间和系统接收时间分开保留。</w:t>
      </w:r>
      <w:r>
        <w:t xml:space="preserve"> </w:t>
      </w:r>
      <w:hyperlink r:id="rId10">
        <w:r>
          <w:rPr>
            <w:color w:val="175A86"/>
          </w:rPr>
          <w:t>[20]</w:t>
        </w:r>
      </w:hyperlink>
    </w:p>
    <w:p>
      <w:pPr>
        <w:pStyle w:val="Heading2"/>
      </w:pPr>
      <w:r>
        <w:t>技术实现与已有仓库衔接</w:t>
      </w:r>
    </w:p>
    <w:p>
      <w:r>
        <w:rPr>
          <w:b w:val="0"/>
        </w:rPr>
        <w:t>建议将核对引擎放入 src/race_supply/core，网页入口独立，样例和预期问题放入 data 与 tests。第一阶段使用Streamlit和pandas；需要跨会话保留人工意见时，再增加SQLite。上传资料始终只读，复核意见写入工具自身记录，暂不写回外部业务系统。</w:t>
      </w:r>
      <w:r>
        <w:t xml:space="preserve"> </w:t>
      </w:r>
      <w:hyperlink r:id="rId16">
        <w:r>
          <w:rPr>
            <w:color w:val="175A86"/>
          </w:rPr>
          <w:t>[17]</w:t>
        </w:r>
      </w:hyperlink>
      <w:hyperlink r:id="rId17">
        <w:r>
          <w:rPr>
            <w:color w:val="175A86"/>
          </w:rPr>
          <w:t>[18]</w:t>
        </w:r>
      </w:hyperlink>
      <w:hyperlink r:id="rId10">
        <w:r>
          <w:rPr>
            <w:color w:val="175A86"/>
          </w:rPr>
          <w:t>[20]</w:t>
        </w:r>
      </w:hyperlink>
    </w:p>
    <w:p>
      <w:r>
        <w:br w:type="page"/>
      </w:r>
    </w:p>
    <w:p>
      <w:pPr>
        <w:pStyle w:val="Heading1"/>
      </w:pPr>
      <w:r>
        <w:t>七 推进步骤与验证方式</w:t>
      </w:r>
    </w:p>
    <w:p>
      <w:r>
        <w:rPr>
          <w:b w:val="0"/>
        </w:rPr>
        <w:t>建议按四个里程碑推进。顺序是工作建议，不代表客户已经批准范围或承诺工期；每一步以可检查成果作为完成标准。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928"/>
            <w:vAlign w:val="center"/>
            <w:shd w:fill="2446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969"/>
            <w:vAlign w:val="center"/>
            <w:shd w:fill="2446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3742"/>
            <w:vAlign w:val="center"/>
            <w:shd w:fill="2446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一 定义样例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4张模板、字段字典、约10条人工标注的演练案例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说明关联粒度、换算来源、部分配送及版本规则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二 核对引擎</w:t>
            </w:r>
          </w:p>
        </w:tc>
        <w:tc>
          <w:tcPr>
            <w:tcW w:type="dxa" w:w="3969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可单独运行的规则函数与预期结果文件</w:t>
            </w:r>
          </w:p>
        </w:tc>
        <w:tc>
          <w:tcPr>
            <w:tcW w:type="dxa" w:w="374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正常、异常和无法判断三类均有测试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三 网页与复核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上传、问题清单、来源查看、意见保存与导出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按旧版配送单案例完整演示一次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四 验收预演</w:t>
            </w:r>
          </w:p>
        </w:tc>
        <w:tc>
          <w:tcPr>
            <w:tcW w:type="dxa" w:w="3969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60条另行构造并标注的演练样本和测试报告</w:t>
            </w:r>
          </w:p>
        </w:tc>
        <w:tc>
          <w:tcPr>
            <w:tcW w:type="dxa" w:w="374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满足约定的追溯与人工复核要求；不冒充客户数据</w:t>
            </w:r>
          </w:p>
        </w:tc>
      </w:tr>
    </w:tbl>
    <w:p>
      <w:pPr>
        <w:spacing w:after="20"/>
      </w:pPr>
    </w:p>
    <w:p>
      <w:pPr>
        <w:pStyle w:val="Heading2"/>
      </w:pPr>
      <w:r>
        <w:t>建议记录的效果指标</w:t>
      </w:r>
    </w:p>
    <w:p>
      <w:r>
        <w:rPr>
          <w:b w:val="0"/>
        </w:rPr>
        <w:t>异常检出率＝正确发现的已标注异常数÷已标注异常总数；误报占比＝错误告警数÷全部告警数；来源完整率＝能定位原行的结果数÷结果总数。分母为零时标记不适用。另记录无法判断的比例，避免把未核对项算作通过。指标定义是本报告建议。</w:t>
      </w:r>
    </w:p>
    <w:p>
      <w:r>
        <w:rPr>
          <w:b w:val="0"/>
        </w:rPr>
        <w:t>对处理工时，使用同一批或难度相当的样例比较人工与辅助流程，说明操作顺序和熟悉程度；同时记录返工次数与确认完整率。报告要求60条可追溯和有明示换算依据，但没有批准异常检出率、耗时下降的目标值，不预写“提升50%”等结果。</w:t>
      </w:r>
      <w:r>
        <w:t xml:space="preserve"> </w:t>
      </w:r>
      <w:hyperlink r:id="rId10">
        <w:r>
          <w:rPr>
            <w:color w:val="175A86"/>
          </w:rPr>
          <w:t>[20]</w:t>
        </w:r>
      </w:hyperlink>
    </w:p>
    <w:p>
      <w:pPr>
        <w:pStyle w:val="Heading2"/>
      </w:pPr>
      <w:r>
        <w:t>先补三类材料再考虑真实试点</w:t>
      </w:r>
    </w:p>
    <w:p>
      <w:r>
        <w:rPr>
          <w:b w:val="0"/>
        </w:rPr>
        <w:t>需要一份明确版本的书面范围说明、一组可公开或已获授权的原始样本，以及具名确认人的业务规则。只有角色访谈或行业介绍，还不能证明接口可用、权限获批和客户验收成立。</w:t>
      </w:r>
    </w:p>
    <w:p>
      <w:pPr>
        <w:pStyle w:val="Heading2"/>
      </w:pPr>
      <w:r>
        <w:t>项目发起者现在可以做的事</w:t>
      </w:r>
    </w:p>
    <w:p>
      <w:r>
        <w:rPr>
          <w:b w:val="0"/>
        </w:rPr>
        <w:t>先确认是否接受“单批次只读核对助手”作为首期范围；选定一个物资与两个站点，用一组正常记录和一组追加变更记录确定表结构。保留派单旧演示，开始添加核对模块。待样例走通，再扩充到60条并安排复核；真实系统集成放在后续授权阶段。</w:t>
      </w:r>
    </w:p>
    <w:p>
      <w:r>
        <w:br w:type="page"/>
      </w:r>
    </w:p>
    <w:p>
      <w:pPr>
        <w:pStyle w:val="Heading1"/>
      </w:pPr>
      <w:r>
        <w:t>资料来源一 行业与业务系统</w:t>
      </w:r>
    </w:p>
    <w:p>
      <w:r>
        <w:rPr>
          <w:b w:val="0"/>
        </w:rPr>
        <w:t>正文方括号为对应来源编号，可点击跳转。网页功能及仓库信息核验截至2026年10月23日；统计年份与发布日期分别标注。来源以政府公告、官方项目和产品文档为主。</w:t>
      </w:r>
    </w:p>
    <w:p>
      <w:pPr>
        <w:spacing w:before="100" w:after="40"/>
      </w:pPr>
      <w:r>
        <w:rPr>
          <w:b/>
        </w:rPr>
        <w:t xml:space="preserve">[1] 国家体育总局与国家统计局  </w:t>
      </w:r>
      <w:hyperlink r:id="rId18">
        <w:r>
          <w:rPr>
            <w:color w:val="175A86"/>
          </w:rPr>
          <w:t>2024年全国体育产业总规模与增加值数据公告</w:t>
        </w:r>
      </w:hyperlink>
    </w:p>
    <w:p>
      <w:pPr>
        <w:spacing w:after="160"/>
      </w:pPr>
      <w:r>
        <w:rPr>
          <w:b w:val="0"/>
          <w:sz w:val="18"/>
        </w:rPr>
        <w:t>2025年12月31日发布；统计年度为2024年。</w:t>
      </w:r>
    </w:p>
    <w:p>
      <w:pPr>
        <w:spacing w:before="100" w:after="40"/>
      </w:pPr>
      <w:r>
        <w:rPr>
          <w:b/>
        </w:rPr>
        <w:t xml:space="preserve">[2] 国家体育总局  </w:t>
      </w:r>
      <w:hyperlink r:id="rId19">
        <w:r>
          <w:rPr>
            <w:color w:val="175A86"/>
          </w:rPr>
          <w:t>2025中国马拉松赛事蓝皮书发布</w:t>
        </w:r>
      </w:hyperlink>
    </w:p>
    <w:p>
      <w:pPr>
        <w:spacing w:after="160"/>
      </w:pPr>
      <w:r>
        <w:rPr>
          <w:b w:val="0"/>
          <w:sz w:val="18"/>
        </w:rPr>
        <w:t>转自2026年4月7日中国体育报；统计年度为2025年。</w:t>
      </w:r>
    </w:p>
    <w:p>
      <w:pPr>
        <w:spacing w:before="100" w:after="40"/>
      </w:pPr>
      <w:r>
        <w:rPr>
          <w:b/>
        </w:rPr>
        <w:t xml:space="preserve">[3] 国家体育总局  </w:t>
      </w:r>
      <w:hyperlink r:id="rId20">
        <w:r>
          <w:rPr>
            <w:color w:val="175A86"/>
          </w:rPr>
          <w:t>新标准引领路跑赛事安全保障提质升级</w:t>
        </w:r>
      </w:hyperlink>
    </w:p>
    <w:p>
      <w:pPr>
        <w:spacing w:after="160"/>
      </w:pPr>
      <w:r>
        <w:rPr>
          <w:b w:val="0"/>
          <w:sz w:val="18"/>
        </w:rPr>
        <w:t>转自2026年7月29日中国体育报；用于了解行业标准化方向。</w:t>
      </w:r>
    </w:p>
    <w:p>
      <w:pPr>
        <w:spacing w:before="100" w:after="40"/>
      </w:pPr>
      <w:r>
        <w:rPr>
          <w:b/>
        </w:rPr>
        <w:t xml:space="preserve">[4] SplitTime  </w:t>
      </w:r>
      <w:hyperlink r:id="rId21">
        <w:r>
          <w:rPr>
            <w:color w:val="175A86"/>
          </w:rPr>
          <w:t>OpenSplitTime 源码仓库</w:t>
        </w:r>
      </w:hyperlink>
    </w:p>
    <w:p>
      <w:pPr>
        <w:spacing w:after="160"/>
      </w:pPr>
      <w:r>
        <w:rPr>
          <w:b w:val="0"/>
          <w:sz w:val="18"/>
        </w:rPr>
        <w:t>赛事数据与站点管理系统；技术栈及许可证以仓库为准。</w:t>
      </w:r>
    </w:p>
    <w:p>
      <w:pPr>
        <w:spacing w:before="100" w:after="40"/>
      </w:pPr>
      <w:r>
        <w:rPr>
          <w:b/>
        </w:rPr>
        <w:t xml:space="preserve">[5] OpenSplitTime  </w:t>
      </w:r>
      <w:hyperlink r:id="rId11">
        <w:r>
          <w:rPr>
            <w:color w:val="175A86"/>
          </w:rPr>
          <w:t>Monitoring 操作指南</w:t>
        </w:r>
      </w:hyperlink>
    </w:p>
    <w:p>
      <w:pPr>
        <w:spacing w:after="160"/>
      </w:pPr>
      <w:r>
        <w:rPr>
          <w:b w:val="0"/>
          <w:sz w:val="18"/>
        </w:rPr>
        <w:t>站点总览、异常队列、原始时间与人工复核记录。</w:t>
      </w:r>
    </w:p>
    <w:p>
      <w:pPr>
        <w:spacing w:before="100" w:after="40"/>
      </w:pPr>
      <w:r>
        <w:rPr>
          <w:b/>
        </w:rPr>
        <w:t xml:space="preserve">[6] OpenSplitTime  </w:t>
      </w:r>
      <w:hyperlink r:id="rId25">
        <w:r>
          <w:rPr>
            <w:color w:val="175A86"/>
          </w:rPr>
          <w:t>OST Remote Setup</w:t>
        </w:r>
      </w:hyperlink>
    </w:p>
    <w:p>
      <w:pPr>
        <w:spacing w:after="160"/>
      </w:pPr>
      <w:r>
        <w:rPr>
          <w:b w:val="0"/>
          <w:sz w:val="18"/>
        </w:rPr>
        <w:t>进站前下载数据与离线录入准备。</w:t>
      </w:r>
    </w:p>
    <w:p>
      <w:pPr>
        <w:spacing w:before="100" w:after="40"/>
      </w:pPr>
      <w:r>
        <w:rPr>
          <w:b/>
        </w:rPr>
        <w:t xml:space="preserve">[7] Frappe  </w:t>
      </w:r>
      <w:hyperlink r:id="rId22">
        <w:r>
          <w:rPr>
            <w:color w:val="175A86"/>
          </w:rPr>
          <w:t>ERPNext 源码仓库</w:t>
        </w:r>
      </w:hyperlink>
    </w:p>
    <w:p>
      <w:pPr>
        <w:spacing w:after="160"/>
      </w:pPr>
      <w:r>
        <w:rPr>
          <w:b w:val="0"/>
          <w:sz w:val="18"/>
        </w:rPr>
        <w:t>库存、订单与项目等模块；仓库标注 GPL 3.0。</w:t>
      </w:r>
    </w:p>
    <w:p>
      <w:pPr>
        <w:spacing w:before="100" w:after="40"/>
      </w:pPr>
      <w:r>
        <w:rPr>
          <w:b/>
        </w:rPr>
        <w:t xml:space="preserve">[8] Frappe  </w:t>
      </w:r>
      <w:hyperlink r:id="rId12">
        <w:r>
          <w:rPr>
            <w:color w:val="175A86"/>
          </w:rPr>
          <w:t>Stock Reconciliation</w:t>
        </w:r>
      </w:hyperlink>
    </w:p>
    <w:p>
      <w:pPr>
        <w:spacing w:after="160"/>
      </w:pPr>
      <w:r>
        <w:rPr>
          <w:b w:val="0"/>
          <w:sz w:val="18"/>
        </w:rPr>
        <w:t>CSV 模板导入、复核提交和库存台账。</w:t>
      </w:r>
    </w:p>
    <w:p>
      <w:pPr>
        <w:spacing w:before="100" w:after="40"/>
      </w:pPr>
      <w:r>
        <w:rPr>
          <w:b/>
        </w:rPr>
        <w:t xml:space="preserve">[9] Frappe  </w:t>
      </w:r>
      <w:hyperlink r:id="rId13">
        <w:r>
          <w:rPr>
            <w:color w:val="175A86"/>
          </w:rPr>
          <w:t>Unit of Measure</w:t>
        </w:r>
      </w:hyperlink>
    </w:p>
    <w:p>
      <w:pPr>
        <w:spacing w:after="160"/>
      </w:pPr>
      <w:r>
        <w:rPr>
          <w:b w:val="0"/>
          <w:sz w:val="18"/>
        </w:rPr>
        <w:t>单位与换算因子的建模说明。</w:t>
      </w:r>
    </w:p>
    <w:p>
      <w:pPr>
        <w:spacing w:before="100" w:after="40"/>
      </w:pPr>
      <w:r>
        <w:rPr>
          <w:b/>
        </w:rPr>
        <w:t xml:space="preserve">[10] InvenTree  </w:t>
      </w:r>
      <w:hyperlink r:id="rId23">
        <w:r>
          <w:rPr>
            <w:color w:val="175A86"/>
          </w:rPr>
          <w:t>InvenTree 源码仓库</w:t>
        </w:r>
      </w:hyperlink>
    </w:p>
    <w:p>
      <w:pPr>
        <w:spacing w:after="160"/>
      </w:pPr>
      <w:r>
        <w:rPr>
          <w:b w:val="0"/>
          <w:sz w:val="18"/>
        </w:rPr>
        <w:t>Python Django 库存系统、REST API 与插件；MIT。</w:t>
      </w:r>
    </w:p>
    <w:p>
      <w:r>
        <w:br w:type="page"/>
      </w:r>
    </w:p>
    <w:p>
      <w:pPr>
        <w:pStyle w:val="Heading1"/>
      </w:pPr>
      <w:r>
        <w:t>资料来源二 平台组件与项目材料</w:t>
      </w:r>
    </w:p>
    <w:p>
      <w:pPr>
        <w:spacing w:before="100" w:after="40"/>
      </w:pPr>
      <w:r>
        <w:rPr>
          <w:b/>
        </w:rPr>
        <w:t xml:space="preserve">[11] pretix  </w:t>
      </w:r>
      <w:hyperlink r:id="rId27">
        <w:r>
          <w:rPr>
            <w:color w:val="175A86"/>
          </w:rPr>
          <w:t>pretix 源码仓库与 pretixSCAN</w:t>
        </w:r>
      </w:hyperlink>
    </w:p>
    <w:p>
      <w:pPr>
        <w:spacing w:after="160"/>
      </w:pPr>
      <w:r>
        <w:rPr>
          <w:b w:val="0"/>
          <w:sz w:val="18"/>
        </w:rPr>
        <w:t>活动票务系统；离线能力见第12项，不能等同物资系统。</w:t>
      </w:r>
    </w:p>
    <w:p>
      <w:pPr>
        <w:spacing w:before="100" w:after="40"/>
      </w:pPr>
      <w:r>
        <w:rPr>
          <w:b/>
        </w:rPr>
        <w:t xml:space="preserve">[12] pretix  </w:t>
      </w:r>
      <w:hyperlink r:id="rId26">
        <w:r>
          <w:rPr>
            <w:color w:val="175A86"/>
          </w:rPr>
          <w:t>pretixSCAN Proxy 产品说明</w:t>
        </w:r>
      </w:hyperlink>
    </w:p>
    <w:p>
      <w:pPr>
        <w:spacing w:after="160"/>
      </w:pPr>
      <w:r>
        <w:rPr>
          <w:b w:val="0"/>
          <w:sz w:val="18"/>
        </w:rPr>
        <w:t>本地网络代理、离线缓存及多设备重复核验限制。</w:t>
      </w:r>
    </w:p>
    <w:p>
      <w:pPr>
        <w:spacing w:before="100" w:after="40"/>
      </w:pPr>
      <w:r>
        <w:rPr>
          <w:b/>
        </w:rPr>
        <w:t xml:space="preserve">[13] RunSignup  </w:t>
      </w:r>
      <w:hyperlink r:id="rId28">
        <w:r>
          <w:rPr>
            <w:color w:val="175A86"/>
          </w:rPr>
          <w:t>Mapping RaceDay Scoring to RaceJoy</w:t>
        </w:r>
      </w:hyperlink>
    </w:p>
    <w:p>
      <w:pPr>
        <w:spacing w:after="160"/>
      </w:pPr>
      <w:r>
        <w:rPr>
          <w:b w:val="0"/>
          <w:sz w:val="18"/>
        </w:rPr>
        <w:t>跨系统计时点映射及确认步骤；未公开可直接复用的完整系统源码。</w:t>
      </w:r>
    </w:p>
    <w:p>
      <w:pPr>
        <w:spacing w:before="100" w:after="40"/>
      </w:pPr>
      <w:r>
        <w:rPr>
          <w:b/>
        </w:rPr>
        <w:t xml:space="preserve">[14] MYLAPS  </w:t>
      </w:r>
      <w:hyperlink r:id="rId29">
        <w:r>
          <w:rPr>
            <w:color w:val="175A86"/>
          </w:rPr>
          <w:t>Developer Portal</w:t>
        </w:r>
      </w:hyperlink>
    </w:p>
    <w:p>
      <w:pPr>
        <w:spacing w:after="160"/>
      </w:pPr>
      <w:r>
        <w:rPr>
          <w:b w:val="0"/>
          <w:sz w:val="18"/>
        </w:rPr>
        <w:t>Cloud Timing 与 Sporthive API 的官方入口。</w:t>
      </w:r>
    </w:p>
    <w:p>
      <w:pPr>
        <w:spacing w:before="100" w:after="40"/>
      </w:pPr>
      <w:r>
        <w:rPr>
          <w:b/>
        </w:rPr>
        <w:t xml:space="preserve">[15] Lark  </w:t>
      </w:r>
      <w:hyperlink r:id="rId14">
        <w:r>
          <w:rPr>
            <w:color w:val="175A86"/>
          </w:rPr>
          <w:t>Inventory Template</w:t>
        </w:r>
      </w:hyperlink>
    </w:p>
    <w:p>
      <w:pPr>
        <w:spacing w:after="160"/>
      </w:pPr>
      <w:r>
        <w:rPr>
          <w:b w:val="0"/>
          <w:sz w:val="18"/>
        </w:rPr>
        <w:t>库存模板及物资字段；与中国大陆飞书功能和套餐需分别核对。</w:t>
      </w:r>
    </w:p>
    <w:p>
      <w:pPr>
        <w:spacing w:before="100" w:after="40"/>
      </w:pPr>
      <w:r>
        <w:rPr>
          <w:b/>
        </w:rPr>
        <w:t xml:space="preserve">[16] Airtable  </w:t>
      </w:r>
      <w:hyperlink r:id="rId15">
        <w:r>
          <w:rPr>
            <w:color w:val="175A86"/>
          </w:rPr>
          <w:t>Inventory Tracker Template</w:t>
        </w:r>
      </w:hyperlink>
    </w:p>
    <w:p>
      <w:pPr>
        <w:spacing w:after="160"/>
      </w:pPr>
      <w:r>
        <w:rPr>
          <w:b w:val="0"/>
          <w:sz w:val="18"/>
        </w:rPr>
        <w:t>库存与供应信息模板；不作为已验证的赛事交付案例。</w:t>
      </w:r>
    </w:p>
    <w:p>
      <w:pPr>
        <w:spacing w:before="100" w:after="40"/>
      </w:pPr>
      <w:r>
        <w:rPr>
          <w:b/>
        </w:rPr>
        <w:t xml:space="preserve">[17] Streamlit  </w:t>
      </w:r>
      <w:hyperlink r:id="rId16">
        <w:r>
          <w:rPr>
            <w:color w:val="175A86"/>
          </w:rPr>
          <w:t>Streamlit 源码仓库</w:t>
        </w:r>
      </w:hyperlink>
    </w:p>
    <w:p>
      <w:pPr>
        <w:spacing w:after="160"/>
      </w:pPr>
      <w:r>
        <w:rPr>
          <w:b w:val="0"/>
          <w:sz w:val="18"/>
        </w:rPr>
        <w:t>Python 交互式网页框架；Apache 2.0。</w:t>
      </w:r>
    </w:p>
    <w:p>
      <w:pPr>
        <w:spacing w:before="100" w:after="40"/>
      </w:pPr>
      <w:r>
        <w:rPr>
          <w:b/>
        </w:rPr>
        <w:t xml:space="preserve">[18] pandas  </w:t>
      </w:r>
      <w:hyperlink r:id="rId17">
        <w:r>
          <w:rPr>
            <w:color w:val="175A86"/>
          </w:rPr>
          <w:t>pandas 源码仓库</w:t>
        </w:r>
      </w:hyperlink>
    </w:p>
    <w:p>
      <w:pPr>
        <w:spacing w:after="160"/>
      </w:pPr>
      <w:r>
        <w:rPr>
          <w:b w:val="0"/>
          <w:sz w:val="18"/>
        </w:rPr>
        <w:t>CSV 与 Excel 数据读写、合并与分组计算。</w:t>
      </w:r>
    </w:p>
    <w:p>
      <w:pPr>
        <w:spacing w:before="100" w:after="40"/>
      </w:pPr>
      <w:r>
        <w:rPr>
          <w:b/>
        </w:rPr>
        <w:t xml:space="preserve">[19] Union.ai 与 Capital One  </w:t>
      </w:r>
      <w:hyperlink r:id="rId24">
        <w:r>
          <w:rPr>
            <w:color w:val="175A86"/>
          </w:rPr>
          <w:t>Pandera 与 DataComPy 源码仓库</w:t>
        </w:r>
      </w:hyperlink>
    </w:p>
    <w:p>
      <w:pPr>
        <w:spacing w:after="160"/>
      </w:pPr>
      <w:r>
        <w:rPr>
          <w:b w:val="0"/>
          <w:sz w:val="18"/>
        </w:rPr>
        <w:t>Pandera 数据校验；DataComPy 地址另列于本项正文。</w:t>
      </w:r>
    </w:p>
    <w:p>
      <w:hyperlink r:id="rId30">
        <w:r>
          <w:rPr>
            <w:color w:val="175A86"/>
          </w:rPr>
          <w:t>DataComPy 源码与许可证</w:t>
        </w:r>
      </w:hyperlink>
    </w:p>
    <w:p>
      <w:pPr>
        <w:spacing w:before="100" w:after="40"/>
      </w:pPr>
      <w:r>
        <w:rPr>
          <w:b/>
        </w:rPr>
        <w:t xml:space="preserve">[20] 本项目访谈材料  </w:t>
      </w:r>
      <w:hyperlink r:id="rId10">
        <w:r>
          <w:rPr>
            <w:color w:val="175A86"/>
          </w:rPr>
          <w:t>赛事补给物资与站点协同需求报告</w:t>
        </w:r>
      </w:hyperlink>
    </w:p>
    <w:p>
      <w:pPr>
        <w:spacing w:after="160"/>
      </w:pPr>
      <w:r>
        <w:rPr>
          <w:b w:val="0"/>
          <w:sz w:val="18"/>
        </w:rPr>
        <w:t>用户2026年10月23日导出；36条合成事实及6个候选需求，非真实企业验证。</w:t>
      </w:r>
    </w:p>
    <w:p>
      <w:r>
        <w:rPr>
          <w:b w:val="0"/>
        </w:rPr>
        <w:t>选型说明：完整系统、开发组件和低代码模板用途不同。本报告对复用难度、开发顺序和业务切口的判断属于项目建议；未对商业平台开展采购测试，也未将其公开功能视为本项目已经实现的能力。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赛事补给协同研究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4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SimHei" w:hAnsi="SimHei" w:eastAsia="SimHei"/>
      <w:b w:val="0"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SimHei" w:hAnsi="SimHei" w:eastAsia="SimHei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00"/>
      <w:contextualSpacing/>
    </w:pPr>
    <w:rPr>
      <w:rFonts w:asciiTheme="majorHAnsi" w:eastAsiaTheme="majorEastAsia" w:hAnsiTheme="majorHAnsi" w:cstheme="majorBidi" w:ascii="SimHei" w:hAnsi="SimHei" w:eastAsia="SimHei"/>
      <w:b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Catrice000/race-supply-coordination/blob/main/docs/discovery/discovery-report.md" TargetMode="External"/><Relationship Id="rId11" Type="http://schemas.openxmlformats.org/officeDocument/2006/relationships/hyperlink" Target="https://docs.opensplittime.org/management/monitor/" TargetMode="External"/><Relationship Id="rId12" Type="http://schemas.openxmlformats.org/officeDocument/2006/relationships/hyperlink" Target="https://docs.frappe.io/erpnext/stock-reconciliation" TargetMode="External"/><Relationship Id="rId13" Type="http://schemas.openxmlformats.org/officeDocument/2006/relationships/hyperlink" Target="https://docs.frappe.io/erpnext/uom" TargetMode="External"/><Relationship Id="rId14" Type="http://schemas.openxmlformats.org/officeDocument/2006/relationships/hyperlink" Target="https://www.larksuite.com/en_us/templates/inventory-template?from=blog-inventory-template-spreadsheet" TargetMode="External"/><Relationship Id="rId15" Type="http://schemas.openxmlformats.org/officeDocument/2006/relationships/hyperlink" Target="https://www.airtable.com/templates/inventory-tracker/expDrHGuyjSQlrKTq" TargetMode="External"/><Relationship Id="rId16" Type="http://schemas.openxmlformats.org/officeDocument/2006/relationships/hyperlink" Target="https://github.com/streamlit/streamlit" TargetMode="External"/><Relationship Id="rId17" Type="http://schemas.openxmlformats.org/officeDocument/2006/relationships/hyperlink" Target="https://github.com/pandas-dev/pandas" TargetMode="External"/><Relationship Id="rId18" Type="http://schemas.openxmlformats.org/officeDocument/2006/relationships/hyperlink" Target="https://www.sport.gov.cn/n315/n20001395/c29331451/content.html" TargetMode="External"/><Relationship Id="rId19" Type="http://schemas.openxmlformats.org/officeDocument/2006/relationships/hyperlink" Target="https://www.sport.gov.cn/n20001280/n20067662/n20067613/c29518903/content.html" TargetMode="External"/><Relationship Id="rId20" Type="http://schemas.openxmlformats.org/officeDocument/2006/relationships/hyperlink" Target="https://www.sport.gov.cn/n20001280/n20745751/c29806661/content.html" TargetMode="External"/><Relationship Id="rId21" Type="http://schemas.openxmlformats.org/officeDocument/2006/relationships/hyperlink" Target="https://github.com/SplitTime/OpenSplitTime" TargetMode="External"/><Relationship Id="rId22" Type="http://schemas.openxmlformats.org/officeDocument/2006/relationships/hyperlink" Target="https://github.com/frappe/erpnext" TargetMode="External"/><Relationship Id="rId23" Type="http://schemas.openxmlformats.org/officeDocument/2006/relationships/hyperlink" Target="https://github.com/inventree/InvenTree" TargetMode="External"/><Relationship Id="rId24" Type="http://schemas.openxmlformats.org/officeDocument/2006/relationships/hyperlink" Target="https://github.com/unionai-oss/pandera" TargetMode="External"/><Relationship Id="rId25" Type="http://schemas.openxmlformats.org/officeDocument/2006/relationships/hyperlink" Target="https://docs.opensplittime.org/ost-remote/setup/" TargetMode="External"/><Relationship Id="rId26" Type="http://schemas.openxmlformats.org/officeDocument/2006/relationships/hyperlink" Target="https://marketplace.pretix.eu/products/pretixscan-proxy/" TargetMode="External"/><Relationship Id="rId27" Type="http://schemas.openxmlformats.org/officeDocument/2006/relationships/hyperlink" Target="https://github.com/pretix/pretix" TargetMode="External"/><Relationship Id="rId28" Type="http://schemas.openxmlformats.org/officeDocument/2006/relationships/hyperlink" Target="https://help.runsignup.com/support/solutions/articles/17000142260-step-2-mapping-raceday-scoring-to-racejoy" TargetMode="External"/><Relationship Id="rId29" Type="http://schemas.openxmlformats.org/officeDocument/2006/relationships/hyperlink" Target="https://dev.mylaps.com/" TargetMode="External"/><Relationship Id="rId30" Type="http://schemas.openxmlformats.org/officeDocument/2006/relationships/hyperlink" Target="https://github.com/capitalone/datacom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赛事运营行业与补给协同方案研究</dc:title>
  <dc:subject>行业现状 平台对标 开源复用 项目落地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