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ABD92" w14:textId="4CEC549C" w:rsidR="00406824" w:rsidRPr="003A1202" w:rsidRDefault="00406824" w:rsidP="003A1202">
      <w:pPr>
        <w:spacing w:line="276" w:lineRule="auto"/>
      </w:pPr>
      <w:r w:rsidRPr="003A1202">
        <w:t>Prepared for:</w:t>
      </w:r>
      <w:r w:rsidRPr="003A1202">
        <w:br/>
        <w:t xml:space="preserve">ITS221 Project Management </w:t>
      </w:r>
      <w:r w:rsidRPr="003A1202">
        <w:br/>
        <w:t>Helena College</w:t>
      </w:r>
    </w:p>
    <w:p w14:paraId="2E83B8A4" w14:textId="65F4CE2F" w:rsidR="00406824" w:rsidRPr="003A1202" w:rsidRDefault="00406824" w:rsidP="003A1202">
      <w:pPr>
        <w:spacing w:line="276" w:lineRule="auto"/>
      </w:pPr>
      <w:r w:rsidRPr="003A1202">
        <w:t>Prepared by:</w:t>
      </w:r>
      <w:r w:rsidRPr="003A1202">
        <w:br/>
        <w:t>Calista Crouse</w:t>
      </w:r>
    </w:p>
    <w:p w14:paraId="4303F556" w14:textId="7A3AED58" w:rsidR="003A1202" w:rsidRDefault="003A1202" w:rsidP="003A1202">
      <w:pPr>
        <w:pStyle w:val="Heading1"/>
        <w:jc w:val="center"/>
      </w:pPr>
      <w:r w:rsidRPr="00AA0B6D">
        <w:t>Helena Community Solar Installation Projec</w:t>
      </w:r>
      <w:r>
        <w:t>t</w:t>
      </w:r>
    </w:p>
    <w:p w14:paraId="56845C94" w14:textId="6998F261" w:rsidR="005840D2" w:rsidRPr="005840D2" w:rsidRDefault="005840D2" w:rsidP="00E31E6B">
      <w:pPr>
        <w:pStyle w:val="Heading2"/>
      </w:pPr>
      <w:r w:rsidRPr="005840D2">
        <w:t>Business Case</w:t>
      </w:r>
    </w:p>
    <w:p w14:paraId="2EE083A4" w14:textId="77777777" w:rsidR="005840D2" w:rsidRPr="005840D2" w:rsidRDefault="005840D2" w:rsidP="00E31E6B">
      <w:pPr>
        <w:pStyle w:val="Subtitle"/>
      </w:pPr>
      <w:r w:rsidRPr="005840D2">
        <w:t>Executive Summary</w:t>
      </w:r>
    </w:p>
    <w:p w14:paraId="7626F74D" w14:textId="77777777" w:rsidR="005840D2" w:rsidRPr="005840D2" w:rsidRDefault="005840D2" w:rsidP="00E31E6B">
      <w:pPr>
        <w:ind w:firstLine="720"/>
      </w:pPr>
      <w:r w:rsidRPr="005840D2">
        <w:t>The Helena Community Solar Installation Project proposes the development and deployment of a community-based solar array system in Helena. This project is designed to promote renewable energy adoption, reduce greenhouse gas emissions, and empower residents with sustainable energy independence. By harnessing solar technology, the project will lower energy costs, stimulate local job creation, and serve as a scalable model for future renewable initiatives in the region. The project will be delivered over 12 months, ensuring timely execution while maintaining quality and safety standards.</w:t>
      </w:r>
    </w:p>
    <w:p w14:paraId="4FEA452D" w14:textId="1982D8B2" w:rsidR="005840D2" w:rsidRPr="005840D2" w:rsidRDefault="005840D2" w:rsidP="005840D2"/>
    <w:p w14:paraId="696CA118" w14:textId="77777777" w:rsidR="005840D2" w:rsidRPr="005840D2" w:rsidRDefault="005840D2" w:rsidP="00E31E6B">
      <w:pPr>
        <w:pStyle w:val="Subtitle"/>
      </w:pPr>
      <w:r w:rsidRPr="005840D2">
        <w:t>Problem Statement</w:t>
      </w:r>
    </w:p>
    <w:p w14:paraId="076CF615" w14:textId="77777777" w:rsidR="005840D2" w:rsidRPr="005840D2" w:rsidRDefault="005840D2" w:rsidP="00E31E6B">
      <w:pPr>
        <w:ind w:firstLine="720"/>
      </w:pPr>
      <w:r w:rsidRPr="005840D2">
        <w:t>The Helena community currently relies heavily on traditional, non-renewable energy sources, resulting in high utility costs and increased carbon emissions. Limited access to affordable renewable energy options prevents the community from reducing its environmental footprint and achieving energy security. Without intervention, Helena will continue to face rising energy expenses and vulnerability to external energy market fluctuations.</w:t>
      </w:r>
    </w:p>
    <w:p w14:paraId="7A29275E" w14:textId="4BBFD644" w:rsidR="005840D2" w:rsidRPr="005840D2" w:rsidRDefault="005840D2" w:rsidP="005840D2"/>
    <w:p w14:paraId="17D833A4" w14:textId="77777777" w:rsidR="005840D2" w:rsidRPr="005840D2" w:rsidRDefault="005840D2" w:rsidP="00E31E6B">
      <w:pPr>
        <w:pStyle w:val="Subtitle"/>
      </w:pPr>
      <w:r w:rsidRPr="005840D2">
        <w:t>Project Description</w:t>
      </w:r>
    </w:p>
    <w:p w14:paraId="5C41E308" w14:textId="77777777" w:rsidR="005840D2" w:rsidRPr="005840D2" w:rsidRDefault="005840D2" w:rsidP="00E31E6B">
      <w:pPr>
        <w:ind w:firstLine="720"/>
      </w:pPr>
      <w:r w:rsidRPr="005840D2">
        <w:t xml:space="preserve">The Helena Community Solar Installation Project focuses on the construction and commissioning of a solar photovoltaic (PV) system tailored to meet local energy demands. The initiative will be led by a dedicated project team working alongside community stakeholders, local government bodies, and technical experts. The scope of work includes site assessment, system design, equipment procurement, installation, testing, and </w:t>
      </w:r>
      <w:r w:rsidRPr="005840D2">
        <w:lastRenderedPageBreak/>
        <w:t>operational handover. Community engagement and workforce development are embedded within the project strategy to maximize long-term value.</w:t>
      </w:r>
    </w:p>
    <w:p w14:paraId="66AF9C8B" w14:textId="198BD1FC" w:rsidR="005840D2" w:rsidRPr="005840D2" w:rsidRDefault="005840D2" w:rsidP="005840D2"/>
    <w:p w14:paraId="7A157D40" w14:textId="77777777" w:rsidR="005840D2" w:rsidRPr="005840D2" w:rsidRDefault="005840D2" w:rsidP="00E31E6B">
      <w:pPr>
        <w:pStyle w:val="Subtitle"/>
      </w:pPr>
      <w:r w:rsidRPr="005840D2">
        <w:t>Strategic Alignment</w:t>
      </w:r>
    </w:p>
    <w:p w14:paraId="2572EAA6" w14:textId="77777777" w:rsidR="005840D2" w:rsidRPr="005840D2" w:rsidRDefault="005840D2" w:rsidP="00E31E6B">
      <w:pPr>
        <w:ind w:firstLine="720"/>
      </w:pPr>
      <w:r w:rsidRPr="005840D2">
        <w:t>This project aligns with regional goals for sustainable development, carbon footprint reduction, and community empowerment. It supports Helena’s clean energy initiatives, contributing to statewide renewable energy targets and helping the community transition toward a more resilient energy future. The project also advances social goals by offering educational opportunities and fostering local job creation in green technologies.</w:t>
      </w:r>
    </w:p>
    <w:p w14:paraId="44A0B972" w14:textId="28E57382" w:rsidR="005840D2" w:rsidRPr="005840D2" w:rsidRDefault="005840D2" w:rsidP="005840D2"/>
    <w:p w14:paraId="64F72DC4" w14:textId="77777777" w:rsidR="005840D2" w:rsidRPr="005840D2" w:rsidRDefault="005840D2" w:rsidP="00E31E6B">
      <w:pPr>
        <w:pStyle w:val="Subtitle"/>
      </w:pPr>
      <w:r w:rsidRPr="005840D2">
        <w:t>Expected Benefits</w:t>
      </w:r>
    </w:p>
    <w:p w14:paraId="79A3B2DC" w14:textId="77777777" w:rsidR="005840D2" w:rsidRPr="005840D2" w:rsidRDefault="005840D2" w:rsidP="00E31E6B">
      <w:pPr>
        <w:pStyle w:val="ListParagraph"/>
        <w:numPr>
          <w:ilvl w:val="0"/>
          <w:numId w:val="7"/>
        </w:numPr>
      </w:pPr>
      <w:r w:rsidRPr="005840D2">
        <w:t>Economic Savings: Reduction in electricity costs for community facilities and residents.</w:t>
      </w:r>
    </w:p>
    <w:p w14:paraId="18118907" w14:textId="77777777" w:rsidR="005840D2" w:rsidRPr="005840D2" w:rsidRDefault="005840D2" w:rsidP="00E31E6B">
      <w:pPr>
        <w:pStyle w:val="ListParagraph"/>
        <w:numPr>
          <w:ilvl w:val="0"/>
          <w:numId w:val="7"/>
        </w:numPr>
      </w:pPr>
      <w:r w:rsidRPr="005840D2">
        <w:t>Environmental Impact: Significant reduction in greenhouse gas emissions.</w:t>
      </w:r>
    </w:p>
    <w:p w14:paraId="73C2829E" w14:textId="77777777" w:rsidR="005840D2" w:rsidRPr="005840D2" w:rsidRDefault="005840D2" w:rsidP="00E31E6B">
      <w:pPr>
        <w:pStyle w:val="ListParagraph"/>
        <w:numPr>
          <w:ilvl w:val="0"/>
          <w:numId w:val="7"/>
        </w:numPr>
      </w:pPr>
      <w:r w:rsidRPr="005840D2">
        <w:t>Community Empowerment: Increased community involvement and awareness of renewable energy benefits.</w:t>
      </w:r>
    </w:p>
    <w:p w14:paraId="0819E6A1" w14:textId="77777777" w:rsidR="005840D2" w:rsidRPr="005840D2" w:rsidRDefault="005840D2" w:rsidP="00E31E6B">
      <w:pPr>
        <w:pStyle w:val="ListParagraph"/>
        <w:numPr>
          <w:ilvl w:val="0"/>
          <w:numId w:val="7"/>
        </w:numPr>
      </w:pPr>
      <w:r w:rsidRPr="005840D2">
        <w:t>Job Creation: Employment opportunities in installation, maintenance, and future solar projects.</w:t>
      </w:r>
    </w:p>
    <w:p w14:paraId="64B17272" w14:textId="77777777" w:rsidR="005840D2" w:rsidRPr="005840D2" w:rsidRDefault="005840D2" w:rsidP="00E31E6B">
      <w:pPr>
        <w:pStyle w:val="ListParagraph"/>
        <w:numPr>
          <w:ilvl w:val="0"/>
          <w:numId w:val="7"/>
        </w:numPr>
      </w:pPr>
      <w:r w:rsidRPr="005840D2">
        <w:t>Educational Opportunities: Skills training for local workforce and renewable energy awareness programs.</w:t>
      </w:r>
    </w:p>
    <w:p w14:paraId="068075F4" w14:textId="058D0AD6" w:rsidR="005840D2" w:rsidRPr="005840D2" w:rsidRDefault="005840D2" w:rsidP="005840D2"/>
    <w:p w14:paraId="0939D2C2" w14:textId="77777777" w:rsidR="005840D2" w:rsidRPr="005840D2" w:rsidRDefault="005840D2" w:rsidP="00E31E6B">
      <w:pPr>
        <w:pStyle w:val="Subtitle"/>
      </w:pPr>
      <w:r w:rsidRPr="005840D2">
        <w:t>Cost Estimate</w:t>
      </w:r>
    </w:p>
    <w:p w14:paraId="477A5BD3" w14:textId="5532A11A" w:rsidR="00E31E6B" w:rsidRDefault="005840D2" w:rsidP="005840D2">
      <w:r w:rsidRPr="005840D2">
        <w:t>The total project budget is estimated at $450,000, distributed over 12 months, including design, procurement, construction, quality assurance, and operational costs. Cost control and monitoring measures will ensure the project remains within budget.</w:t>
      </w:r>
    </w:p>
    <w:p w14:paraId="1B1379C1" w14:textId="61B4DD99" w:rsidR="00E31E6B" w:rsidRPr="005840D2" w:rsidRDefault="00E31E6B" w:rsidP="005840D2">
      <w:r>
        <w:br w:type="page"/>
      </w:r>
    </w:p>
    <w:p w14:paraId="5E488A17" w14:textId="77777777" w:rsidR="005840D2" w:rsidRPr="005840D2" w:rsidRDefault="005840D2" w:rsidP="00E31E6B">
      <w:pPr>
        <w:pStyle w:val="Subtitle"/>
      </w:pPr>
      <w:r w:rsidRPr="005840D2">
        <w:lastRenderedPageBreak/>
        <w:t>Risk Assessment</w:t>
      </w:r>
    </w:p>
    <w:p w14:paraId="1FE66B59" w14:textId="77777777" w:rsidR="005840D2" w:rsidRPr="005840D2" w:rsidRDefault="005840D2" w:rsidP="005840D2">
      <w:r w:rsidRPr="005840D2">
        <w:t>Key risks identified include:</w:t>
      </w:r>
    </w:p>
    <w:p w14:paraId="65B10AC0" w14:textId="77777777" w:rsidR="005840D2" w:rsidRPr="005840D2" w:rsidRDefault="005840D2" w:rsidP="00E31E6B">
      <w:pPr>
        <w:pStyle w:val="ListParagraph"/>
        <w:numPr>
          <w:ilvl w:val="0"/>
          <w:numId w:val="8"/>
        </w:numPr>
      </w:pPr>
      <w:r w:rsidRPr="005840D2">
        <w:t>Weather Delays: Adverse conditions could impact installation timelines.</w:t>
      </w:r>
    </w:p>
    <w:p w14:paraId="53F64449" w14:textId="77777777" w:rsidR="005840D2" w:rsidRPr="005840D2" w:rsidRDefault="005840D2" w:rsidP="00E31E6B">
      <w:pPr>
        <w:pStyle w:val="ListParagraph"/>
        <w:numPr>
          <w:ilvl w:val="0"/>
          <w:numId w:val="8"/>
        </w:numPr>
      </w:pPr>
      <w:r w:rsidRPr="005840D2">
        <w:t>Supply Chain Disruptions: Delays in equipment delivery may affect schedules.</w:t>
      </w:r>
    </w:p>
    <w:p w14:paraId="29A68AE0" w14:textId="77777777" w:rsidR="005840D2" w:rsidRPr="005840D2" w:rsidRDefault="005840D2" w:rsidP="00E31E6B">
      <w:pPr>
        <w:pStyle w:val="ListParagraph"/>
        <w:numPr>
          <w:ilvl w:val="0"/>
          <w:numId w:val="8"/>
        </w:numPr>
      </w:pPr>
      <w:r w:rsidRPr="005840D2">
        <w:t>Community Engagement: Ensuring continuous and effective stakeholder communication.</w:t>
      </w:r>
    </w:p>
    <w:p w14:paraId="752A6B7E" w14:textId="77777777" w:rsidR="005840D2" w:rsidRPr="005840D2" w:rsidRDefault="005840D2" w:rsidP="00E31E6B">
      <w:pPr>
        <w:pStyle w:val="ListParagraph"/>
        <w:numPr>
          <w:ilvl w:val="0"/>
          <w:numId w:val="8"/>
        </w:numPr>
      </w:pPr>
      <w:r w:rsidRPr="005840D2">
        <w:t>Regulatory Approvals: Possible delays in permits and inspections.</w:t>
      </w:r>
    </w:p>
    <w:p w14:paraId="776AC2D9" w14:textId="77777777" w:rsidR="005840D2" w:rsidRPr="005840D2" w:rsidRDefault="005840D2" w:rsidP="00E31E6B">
      <w:pPr>
        <w:pStyle w:val="ListParagraph"/>
        <w:numPr>
          <w:ilvl w:val="0"/>
          <w:numId w:val="8"/>
        </w:numPr>
      </w:pPr>
      <w:r w:rsidRPr="005840D2">
        <w:t>Mitigation strategies include proactive scheduling, diversified supplier options, robust stakeholder communication plans, and early regulatory engagement.</w:t>
      </w:r>
    </w:p>
    <w:p w14:paraId="55C1E542" w14:textId="11C4005F" w:rsidR="005840D2" w:rsidRPr="005840D2" w:rsidRDefault="005840D2" w:rsidP="005840D2"/>
    <w:p w14:paraId="0A84FA82" w14:textId="77777777" w:rsidR="005840D2" w:rsidRPr="005840D2" w:rsidRDefault="005840D2" w:rsidP="00E31E6B">
      <w:pPr>
        <w:pStyle w:val="Subtitle"/>
      </w:pPr>
      <w:r w:rsidRPr="005840D2">
        <w:t>Timeline</w:t>
      </w:r>
    </w:p>
    <w:p w14:paraId="2A8B056D" w14:textId="77777777" w:rsidR="005840D2" w:rsidRPr="005840D2" w:rsidRDefault="005840D2" w:rsidP="005840D2">
      <w:r w:rsidRPr="005840D2">
        <w:t>The project is scheduled for completion within 12 months, with major milestones including:</w:t>
      </w:r>
    </w:p>
    <w:p w14:paraId="325BE2EB" w14:textId="77777777" w:rsidR="005840D2" w:rsidRPr="005840D2" w:rsidRDefault="005840D2" w:rsidP="00E31E6B">
      <w:pPr>
        <w:pStyle w:val="ListParagraph"/>
        <w:numPr>
          <w:ilvl w:val="0"/>
          <w:numId w:val="9"/>
        </w:numPr>
      </w:pPr>
      <w:r w:rsidRPr="005840D2">
        <w:t>Month 1-3: Planning and Design</w:t>
      </w:r>
    </w:p>
    <w:p w14:paraId="0A1D0D51" w14:textId="77777777" w:rsidR="005840D2" w:rsidRPr="005840D2" w:rsidRDefault="005840D2" w:rsidP="00E31E6B">
      <w:pPr>
        <w:pStyle w:val="ListParagraph"/>
        <w:numPr>
          <w:ilvl w:val="0"/>
          <w:numId w:val="9"/>
        </w:numPr>
      </w:pPr>
      <w:r w:rsidRPr="005840D2">
        <w:t>Month 4-6: Procurement and Site Preparation</w:t>
      </w:r>
    </w:p>
    <w:p w14:paraId="17949BE5" w14:textId="77777777" w:rsidR="005840D2" w:rsidRPr="005840D2" w:rsidRDefault="005840D2" w:rsidP="00E31E6B">
      <w:pPr>
        <w:pStyle w:val="ListParagraph"/>
        <w:numPr>
          <w:ilvl w:val="0"/>
          <w:numId w:val="9"/>
        </w:numPr>
      </w:pPr>
      <w:r w:rsidRPr="005840D2">
        <w:t>Month 7-10: Installation and Testing</w:t>
      </w:r>
    </w:p>
    <w:p w14:paraId="3B2D4DE6" w14:textId="77777777" w:rsidR="005840D2" w:rsidRPr="005840D2" w:rsidRDefault="005840D2" w:rsidP="00E31E6B">
      <w:pPr>
        <w:pStyle w:val="ListParagraph"/>
        <w:numPr>
          <w:ilvl w:val="0"/>
          <w:numId w:val="9"/>
        </w:numPr>
      </w:pPr>
      <w:r w:rsidRPr="005840D2">
        <w:t>Month 11-12: Commissioning and Handover</w:t>
      </w:r>
    </w:p>
    <w:p w14:paraId="541242C0" w14:textId="274F014C" w:rsidR="005840D2" w:rsidRPr="005840D2" w:rsidRDefault="005840D2" w:rsidP="005840D2"/>
    <w:p w14:paraId="5B97A38E" w14:textId="77777777" w:rsidR="005840D2" w:rsidRPr="005840D2" w:rsidRDefault="005840D2" w:rsidP="00E31E6B">
      <w:pPr>
        <w:pStyle w:val="Subtitle"/>
      </w:pPr>
      <w:r w:rsidRPr="005840D2">
        <w:t>Recommendation</w:t>
      </w:r>
    </w:p>
    <w:p w14:paraId="280802BA" w14:textId="07B404AC" w:rsidR="005840D2" w:rsidRPr="005840D2" w:rsidRDefault="005840D2" w:rsidP="00E31E6B">
      <w:pPr>
        <w:ind w:firstLine="720"/>
      </w:pPr>
      <w:r w:rsidRPr="005840D2">
        <w:t>It is recommended that the Helena Community Solar Installation Project proceed as proposed. The initiative offers significant long-term benefits for the Helena community, providing economic relief, environmental improvements, and social empowerment. The project’s alignment with local and state objectives, combined with proactive risk management and stakeholder engagement, makes it a sound and strategic investment in Helena’s future.</w:t>
      </w:r>
    </w:p>
    <w:sectPr w:rsidR="005840D2" w:rsidRPr="00584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F258E"/>
    <w:multiLevelType w:val="multilevel"/>
    <w:tmpl w:val="F8E8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320C6"/>
    <w:multiLevelType w:val="hybridMultilevel"/>
    <w:tmpl w:val="F8E64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A33F6C"/>
    <w:multiLevelType w:val="multilevel"/>
    <w:tmpl w:val="A478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DA6D48"/>
    <w:multiLevelType w:val="multilevel"/>
    <w:tmpl w:val="48FA0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1D5EE5"/>
    <w:multiLevelType w:val="hybridMultilevel"/>
    <w:tmpl w:val="A9966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8F0F94"/>
    <w:multiLevelType w:val="multilevel"/>
    <w:tmpl w:val="B212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52392D"/>
    <w:multiLevelType w:val="multilevel"/>
    <w:tmpl w:val="62D8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A0642C"/>
    <w:multiLevelType w:val="multilevel"/>
    <w:tmpl w:val="4FAE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673A8D"/>
    <w:multiLevelType w:val="hybridMultilevel"/>
    <w:tmpl w:val="F878A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7319621">
    <w:abstractNumId w:val="7"/>
  </w:num>
  <w:num w:numId="2" w16cid:durableId="1060708211">
    <w:abstractNumId w:val="0"/>
  </w:num>
  <w:num w:numId="3" w16cid:durableId="950670596">
    <w:abstractNumId w:val="2"/>
  </w:num>
  <w:num w:numId="4" w16cid:durableId="1494176624">
    <w:abstractNumId w:val="6"/>
  </w:num>
  <w:num w:numId="5" w16cid:durableId="487405746">
    <w:abstractNumId w:val="3"/>
  </w:num>
  <w:num w:numId="6" w16cid:durableId="1533886318">
    <w:abstractNumId w:val="5"/>
  </w:num>
  <w:num w:numId="7" w16cid:durableId="1011372182">
    <w:abstractNumId w:val="4"/>
  </w:num>
  <w:num w:numId="8" w16cid:durableId="1727725920">
    <w:abstractNumId w:val="8"/>
  </w:num>
  <w:num w:numId="9" w16cid:durableId="530151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824"/>
    <w:rsid w:val="000C2EBB"/>
    <w:rsid w:val="003A1202"/>
    <w:rsid w:val="00406824"/>
    <w:rsid w:val="004A1636"/>
    <w:rsid w:val="00511212"/>
    <w:rsid w:val="00543504"/>
    <w:rsid w:val="005840D2"/>
    <w:rsid w:val="007154D2"/>
    <w:rsid w:val="007635C2"/>
    <w:rsid w:val="00AA0B6D"/>
    <w:rsid w:val="00AA4C46"/>
    <w:rsid w:val="00AD10C2"/>
    <w:rsid w:val="00B9235C"/>
    <w:rsid w:val="00C319EC"/>
    <w:rsid w:val="00C449F2"/>
    <w:rsid w:val="00C61DE2"/>
    <w:rsid w:val="00DC7CB6"/>
    <w:rsid w:val="00E15DA5"/>
    <w:rsid w:val="00E31E6B"/>
    <w:rsid w:val="00EF5697"/>
    <w:rsid w:val="00F46E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CAEC6"/>
  <w15:chartTrackingRefBased/>
  <w15:docId w15:val="{A8569C94-E675-499E-B809-39CA1AA22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8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068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68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68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68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68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68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68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68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8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068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68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68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68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68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8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8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824"/>
    <w:rPr>
      <w:rFonts w:eastAsiaTheme="majorEastAsia" w:cstheme="majorBidi"/>
      <w:color w:val="272727" w:themeColor="text1" w:themeTint="D8"/>
    </w:rPr>
  </w:style>
  <w:style w:type="paragraph" w:styleId="Title">
    <w:name w:val="Title"/>
    <w:basedOn w:val="Normal"/>
    <w:next w:val="Normal"/>
    <w:link w:val="TitleChar"/>
    <w:uiPriority w:val="10"/>
    <w:qFormat/>
    <w:rsid w:val="004068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8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8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8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824"/>
    <w:pPr>
      <w:spacing w:before="160"/>
      <w:jc w:val="center"/>
    </w:pPr>
    <w:rPr>
      <w:i/>
      <w:iCs/>
      <w:color w:val="404040" w:themeColor="text1" w:themeTint="BF"/>
    </w:rPr>
  </w:style>
  <w:style w:type="character" w:customStyle="1" w:styleId="QuoteChar">
    <w:name w:val="Quote Char"/>
    <w:basedOn w:val="DefaultParagraphFont"/>
    <w:link w:val="Quote"/>
    <w:uiPriority w:val="29"/>
    <w:rsid w:val="00406824"/>
    <w:rPr>
      <w:i/>
      <w:iCs/>
      <w:color w:val="404040" w:themeColor="text1" w:themeTint="BF"/>
    </w:rPr>
  </w:style>
  <w:style w:type="paragraph" w:styleId="ListParagraph">
    <w:name w:val="List Paragraph"/>
    <w:basedOn w:val="Normal"/>
    <w:uiPriority w:val="34"/>
    <w:qFormat/>
    <w:rsid w:val="00406824"/>
    <w:pPr>
      <w:ind w:left="720"/>
      <w:contextualSpacing/>
    </w:pPr>
  </w:style>
  <w:style w:type="character" w:styleId="IntenseEmphasis">
    <w:name w:val="Intense Emphasis"/>
    <w:basedOn w:val="DefaultParagraphFont"/>
    <w:uiPriority w:val="21"/>
    <w:qFormat/>
    <w:rsid w:val="00406824"/>
    <w:rPr>
      <w:i/>
      <w:iCs/>
      <w:color w:val="0F4761" w:themeColor="accent1" w:themeShade="BF"/>
    </w:rPr>
  </w:style>
  <w:style w:type="paragraph" w:styleId="IntenseQuote">
    <w:name w:val="Intense Quote"/>
    <w:basedOn w:val="Normal"/>
    <w:next w:val="Normal"/>
    <w:link w:val="IntenseQuoteChar"/>
    <w:uiPriority w:val="30"/>
    <w:qFormat/>
    <w:rsid w:val="004068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6824"/>
    <w:rPr>
      <w:i/>
      <w:iCs/>
      <w:color w:val="0F4761" w:themeColor="accent1" w:themeShade="BF"/>
    </w:rPr>
  </w:style>
  <w:style w:type="character" w:styleId="IntenseReference">
    <w:name w:val="Intense Reference"/>
    <w:basedOn w:val="DefaultParagraphFont"/>
    <w:uiPriority w:val="32"/>
    <w:qFormat/>
    <w:rsid w:val="004068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85615">
      <w:bodyDiv w:val="1"/>
      <w:marLeft w:val="0"/>
      <w:marRight w:val="0"/>
      <w:marTop w:val="0"/>
      <w:marBottom w:val="0"/>
      <w:divBdr>
        <w:top w:val="none" w:sz="0" w:space="0" w:color="auto"/>
        <w:left w:val="none" w:sz="0" w:space="0" w:color="auto"/>
        <w:bottom w:val="none" w:sz="0" w:space="0" w:color="auto"/>
        <w:right w:val="none" w:sz="0" w:space="0" w:color="auto"/>
      </w:divBdr>
    </w:div>
    <w:div w:id="234122185">
      <w:bodyDiv w:val="1"/>
      <w:marLeft w:val="0"/>
      <w:marRight w:val="0"/>
      <w:marTop w:val="0"/>
      <w:marBottom w:val="0"/>
      <w:divBdr>
        <w:top w:val="none" w:sz="0" w:space="0" w:color="auto"/>
        <w:left w:val="none" w:sz="0" w:space="0" w:color="auto"/>
        <w:bottom w:val="none" w:sz="0" w:space="0" w:color="auto"/>
        <w:right w:val="none" w:sz="0" w:space="0" w:color="auto"/>
      </w:divBdr>
    </w:div>
    <w:div w:id="373696323">
      <w:bodyDiv w:val="1"/>
      <w:marLeft w:val="0"/>
      <w:marRight w:val="0"/>
      <w:marTop w:val="0"/>
      <w:marBottom w:val="0"/>
      <w:divBdr>
        <w:top w:val="none" w:sz="0" w:space="0" w:color="auto"/>
        <w:left w:val="none" w:sz="0" w:space="0" w:color="auto"/>
        <w:bottom w:val="none" w:sz="0" w:space="0" w:color="auto"/>
        <w:right w:val="none" w:sz="0" w:space="0" w:color="auto"/>
      </w:divBdr>
    </w:div>
    <w:div w:id="411197338">
      <w:bodyDiv w:val="1"/>
      <w:marLeft w:val="0"/>
      <w:marRight w:val="0"/>
      <w:marTop w:val="0"/>
      <w:marBottom w:val="0"/>
      <w:divBdr>
        <w:top w:val="none" w:sz="0" w:space="0" w:color="auto"/>
        <w:left w:val="none" w:sz="0" w:space="0" w:color="auto"/>
        <w:bottom w:val="none" w:sz="0" w:space="0" w:color="auto"/>
        <w:right w:val="none" w:sz="0" w:space="0" w:color="auto"/>
      </w:divBdr>
    </w:div>
    <w:div w:id="481240842">
      <w:bodyDiv w:val="1"/>
      <w:marLeft w:val="0"/>
      <w:marRight w:val="0"/>
      <w:marTop w:val="0"/>
      <w:marBottom w:val="0"/>
      <w:divBdr>
        <w:top w:val="none" w:sz="0" w:space="0" w:color="auto"/>
        <w:left w:val="none" w:sz="0" w:space="0" w:color="auto"/>
        <w:bottom w:val="none" w:sz="0" w:space="0" w:color="auto"/>
        <w:right w:val="none" w:sz="0" w:space="0" w:color="auto"/>
      </w:divBdr>
    </w:div>
    <w:div w:id="543756454">
      <w:bodyDiv w:val="1"/>
      <w:marLeft w:val="0"/>
      <w:marRight w:val="0"/>
      <w:marTop w:val="0"/>
      <w:marBottom w:val="0"/>
      <w:divBdr>
        <w:top w:val="none" w:sz="0" w:space="0" w:color="auto"/>
        <w:left w:val="none" w:sz="0" w:space="0" w:color="auto"/>
        <w:bottom w:val="none" w:sz="0" w:space="0" w:color="auto"/>
        <w:right w:val="none" w:sz="0" w:space="0" w:color="auto"/>
      </w:divBdr>
    </w:div>
    <w:div w:id="617300932">
      <w:bodyDiv w:val="1"/>
      <w:marLeft w:val="0"/>
      <w:marRight w:val="0"/>
      <w:marTop w:val="0"/>
      <w:marBottom w:val="0"/>
      <w:divBdr>
        <w:top w:val="none" w:sz="0" w:space="0" w:color="auto"/>
        <w:left w:val="none" w:sz="0" w:space="0" w:color="auto"/>
        <w:bottom w:val="none" w:sz="0" w:space="0" w:color="auto"/>
        <w:right w:val="none" w:sz="0" w:space="0" w:color="auto"/>
      </w:divBdr>
    </w:div>
    <w:div w:id="154679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ff7d323-aff5-49f4-b17b-7544c3beef4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6CE7FD067BDEE40B632C4CE228292F0" ma:contentTypeVersion="12" ma:contentTypeDescription="Create a new document." ma:contentTypeScope="" ma:versionID="60d012431ebe66a14f880c8fd3a0bac2">
  <xsd:schema xmlns:xsd="http://www.w3.org/2001/XMLSchema" xmlns:xs="http://www.w3.org/2001/XMLSchema" xmlns:p="http://schemas.microsoft.com/office/2006/metadata/properties" xmlns:ns3="8ff7d323-aff5-49f4-b17b-7544c3beef4a" targetNamespace="http://schemas.microsoft.com/office/2006/metadata/properties" ma:root="true" ma:fieldsID="c655e3881788b98f115b111aa65a6740" ns3:_="">
    <xsd:import namespace="8ff7d323-aff5-49f4-b17b-7544c3beef4a"/>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SystemTags"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f7d323-aff5-49f4-b17b-7544c3beef4a"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9FEA4C-D558-4131-92C5-E19F9DC75ABF}">
  <ds:schemaRefs>
    <ds:schemaRef ds:uri="http://purl.org/dc/elements/1.1/"/>
    <ds:schemaRef ds:uri="http://schemas.openxmlformats.org/package/2006/metadata/core-properties"/>
    <ds:schemaRef ds:uri="http://schemas.microsoft.com/office/2006/documentManagement/types"/>
    <ds:schemaRef ds:uri="http://www.w3.org/XML/1998/namespace"/>
    <ds:schemaRef ds:uri="http://purl.org/dc/dcmitype/"/>
    <ds:schemaRef ds:uri="http://schemas.microsoft.com/office/infopath/2007/PartnerControls"/>
    <ds:schemaRef ds:uri="http://purl.org/dc/terms/"/>
    <ds:schemaRef ds:uri="8ff7d323-aff5-49f4-b17b-7544c3beef4a"/>
    <ds:schemaRef ds:uri="http://schemas.microsoft.com/office/2006/metadata/properties"/>
  </ds:schemaRefs>
</ds:datastoreItem>
</file>

<file path=customXml/itemProps2.xml><?xml version="1.0" encoding="utf-8"?>
<ds:datastoreItem xmlns:ds="http://schemas.openxmlformats.org/officeDocument/2006/customXml" ds:itemID="{053EDEA1-F373-4BF3-BD25-F8ADEDAC3A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f7d323-aff5-49f4-b17b-7544c3beef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E87702-2765-4F02-BB19-DB6B6DC6F2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626</Words>
  <Characters>3570</Characters>
  <Application>Microsoft Office Word</Application>
  <DocSecurity>0</DocSecurity>
  <Lines>29</Lines>
  <Paragraphs>8</Paragraphs>
  <ScaleCrop>false</ScaleCrop>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Crouse, Franklin</dc:creator>
  <cp:keywords/>
  <dc:description/>
  <cp:lastModifiedBy>Crouse, Franklin</cp:lastModifiedBy>
  <cp:revision>6</cp:revision>
  <dcterms:created xsi:type="dcterms:W3CDTF">2025-04-09T16:30:00Z</dcterms:created>
  <dcterms:modified xsi:type="dcterms:W3CDTF">2025-04-09T16:40:00Z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0x01010076CE7FD067BDEE40B632C4CE228292F0</vt:lpwstr>
  </property>
</Properties>
</file>