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26E78" w14:textId="77777777" w:rsidR="0023313B" w:rsidRPr="003A1202" w:rsidRDefault="0023313B" w:rsidP="0023313B">
      <w:pPr>
        <w:spacing w:line="276" w:lineRule="auto"/>
      </w:pPr>
      <w:r w:rsidRPr="003A1202">
        <w:t>Prepared for:</w:t>
      </w:r>
      <w:r w:rsidRPr="003A1202">
        <w:br/>
        <w:t xml:space="preserve">ITS221 Project Management </w:t>
      </w:r>
      <w:r w:rsidRPr="003A1202">
        <w:br/>
        <w:t>Helena College</w:t>
      </w:r>
    </w:p>
    <w:p w14:paraId="06E4C285" w14:textId="495B066A" w:rsidR="0023313B" w:rsidRPr="003A1202" w:rsidRDefault="0023313B" w:rsidP="0023313B">
      <w:pPr>
        <w:spacing w:line="276" w:lineRule="auto"/>
      </w:pPr>
      <w:r w:rsidRPr="003A1202">
        <w:t>Prepared by:</w:t>
      </w:r>
      <w:r w:rsidRPr="003A1202">
        <w:br/>
        <w:t>Calista Crouse</w:t>
      </w:r>
    </w:p>
    <w:p w14:paraId="59BF0109" w14:textId="77777777" w:rsidR="0023313B" w:rsidRDefault="0023313B" w:rsidP="0023313B">
      <w:pPr>
        <w:pStyle w:val="Heading1"/>
        <w:jc w:val="center"/>
      </w:pPr>
      <w:r w:rsidRPr="00AA0B6D">
        <w:t>Helena Community Solar Installation Projec</w:t>
      </w:r>
      <w:r>
        <w:t>t</w:t>
      </w:r>
    </w:p>
    <w:p w14:paraId="4AB2ED66" w14:textId="001AC8D4" w:rsidR="0023313B" w:rsidRPr="0023313B" w:rsidRDefault="0023313B" w:rsidP="0023313B">
      <w:pPr>
        <w:pStyle w:val="Heading2"/>
      </w:pPr>
      <w:r w:rsidRPr="0023313B">
        <w:t>Project Proposal</w:t>
      </w:r>
    </w:p>
    <w:p w14:paraId="4D4A32E7" w14:textId="77777777" w:rsidR="0023313B" w:rsidRPr="0023313B" w:rsidRDefault="0023313B" w:rsidP="0023313B">
      <w:pPr>
        <w:pStyle w:val="Subtitle"/>
      </w:pPr>
      <w:r w:rsidRPr="0023313B">
        <w:t>Project Overview</w:t>
      </w:r>
    </w:p>
    <w:p w14:paraId="328FA162" w14:textId="77777777" w:rsidR="0023313B" w:rsidRPr="0023313B" w:rsidRDefault="0023313B" w:rsidP="0023313B">
      <w:pPr>
        <w:spacing w:line="276" w:lineRule="auto"/>
        <w:ind w:firstLine="720"/>
      </w:pPr>
      <w:r w:rsidRPr="0023313B">
        <w:t>The Helena Community Solar Installation Project aims to design, construct, and commission a community-owned solar array in Helena, providing residents and local facilities with access to clean, affordable, and sustainable energy. Through this initiative, Helena will reduce its dependence on fossil fuels, lower electricity costs for community members, and actively contribute to environmental preservation. This project will also strengthen community engagement and foster local economic development through job creation and skills training.</w:t>
      </w:r>
    </w:p>
    <w:p w14:paraId="4B2F01CB" w14:textId="754C8C27" w:rsidR="0023313B" w:rsidRPr="0023313B" w:rsidRDefault="0023313B" w:rsidP="0023313B">
      <w:pPr>
        <w:spacing w:line="276" w:lineRule="auto"/>
      </w:pPr>
    </w:p>
    <w:p w14:paraId="6564B6BD" w14:textId="77777777" w:rsidR="0023313B" w:rsidRPr="0023313B" w:rsidRDefault="0023313B" w:rsidP="0023313B">
      <w:pPr>
        <w:pStyle w:val="Subtitle"/>
      </w:pPr>
      <w:r w:rsidRPr="0023313B">
        <w:t>Project Objectives</w:t>
      </w:r>
    </w:p>
    <w:p w14:paraId="63C36360" w14:textId="77777777" w:rsidR="0023313B" w:rsidRPr="0023313B" w:rsidRDefault="0023313B" w:rsidP="0023313B">
      <w:pPr>
        <w:pStyle w:val="ListParagraph"/>
        <w:numPr>
          <w:ilvl w:val="0"/>
          <w:numId w:val="6"/>
        </w:numPr>
        <w:spacing w:line="276" w:lineRule="auto"/>
      </w:pPr>
      <w:r w:rsidRPr="0023313B">
        <w:t>Deploy Renewable Energy Infrastructure: Install a reliable and efficient solar array system tailored to Helena's energy needs.</w:t>
      </w:r>
    </w:p>
    <w:p w14:paraId="59C8373C" w14:textId="77777777" w:rsidR="0023313B" w:rsidRPr="0023313B" w:rsidRDefault="0023313B" w:rsidP="0023313B">
      <w:pPr>
        <w:pStyle w:val="ListParagraph"/>
        <w:numPr>
          <w:ilvl w:val="0"/>
          <w:numId w:val="6"/>
        </w:numPr>
        <w:spacing w:line="276" w:lineRule="auto"/>
      </w:pPr>
      <w:r w:rsidRPr="0023313B">
        <w:t>Lower Energy Costs: Provide sustainable savings on utility bills for the community.</w:t>
      </w:r>
    </w:p>
    <w:p w14:paraId="70FBDF12" w14:textId="77777777" w:rsidR="0023313B" w:rsidRPr="0023313B" w:rsidRDefault="0023313B" w:rsidP="0023313B">
      <w:pPr>
        <w:pStyle w:val="ListParagraph"/>
        <w:numPr>
          <w:ilvl w:val="0"/>
          <w:numId w:val="6"/>
        </w:numPr>
        <w:spacing w:line="276" w:lineRule="auto"/>
      </w:pPr>
      <w:r w:rsidRPr="0023313B">
        <w:t>Reduce Carbon Emissions: Support Helena’s transition to a greener, more sustainable energy mix.</w:t>
      </w:r>
    </w:p>
    <w:p w14:paraId="09A9B36C" w14:textId="77777777" w:rsidR="0023313B" w:rsidRPr="0023313B" w:rsidRDefault="0023313B" w:rsidP="0023313B">
      <w:pPr>
        <w:pStyle w:val="ListParagraph"/>
        <w:numPr>
          <w:ilvl w:val="0"/>
          <w:numId w:val="6"/>
        </w:numPr>
        <w:spacing w:line="276" w:lineRule="auto"/>
      </w:pPr>
      <w:r w:rsidRPr="0023313B">
        <w:t xml:space="preserve">Empower the Community: Engage </w:t>
      </w:r>
      <w:proofErr w:type="gramStart"/>
      <w:r w:rsidRPr="0023313B">
        <w:t>local residents</w:t>
      </w:r>
      <w:proofErr w:type="gramEnd"/>
      <w:r w:rsidRPr="0023313B">
        <w:t xml:space="preserve"> through education, outreach, and participation in project development.</w:t>
      </w:r>
    </w:p>
    <w:p w14:paraId="4E54EFB4" w14:textId="77777777" w:rsidR="0023313B" w:rsidRPr="0023313B" w:rsidRDefault="0023313B" w:rsidP="0023313B">
      <w:pPr>
        <w:pStyle w:val="ListParagraph"/>
        <w:numPr>
          <w:ilvl w:val="0"/>
          <w:numId w:val="6"/>
        </w:numPr>
        <w:spacing w:line="276" w:lineRule="auto"/>
      </w:pPr>
      <w:r w:rsidRPr="0023313B">
        <w:t>Stimulate Local Economy: Create green jobs and training opportunities in solar technology and system maintenance.</w:t>
      </w:r>
    </w:p>
    <w:p w14:paraId="2B7CB272" w14:textId="7E86D013" w:rsidR="0023313B" w:rsidRPr="0023313B" w:rsidRDefault="0023313B" w:rsidP="0023313B">
      <w:pPr>
        <w:spacing w:line="276" w:lineRule="auto"/>
      </w:pPr>
    </w:p>
    <w:p w14:paraId="69D68206" w14:textId="77777777" w:rsidR="0023313B" w:rsidRPr="0023313B" w:rsidRDefault="0023313B" w:rsidP="0023313B">
      <w:pPr>
        <w:pStyle w:val="Subtitle"/>
      </w:pPr>
      <w:r w:rsidRPr="0023313B">
        <w:t>Project Scope</w:t>
      </w:r>
    </w:p>
    <w:p w14:paraId="65470C60" w14:textId="77777777" w:rsidR="0023313B" w:rsidRPr="0023313B" w:rsidRDefault="0023313B" w:rsidP="0023313B">
      <w:pPr>
        <w:spacing w:line="276" w:lineRule="auto"/>
      </w:pPr>
      <w:r w:rsidRPr="0023313B">
        <w:t>The project encompasses all phases of solar array development, including:</w:t>
      </w:r>
    </w:p>
    <w:p w14:paraId="71B2A3CD" w14:textId="77777777" w:rsidR="0023313B" w:rsidRPr="0023313B" w:rsidRDefault="0023313B" w:rsidP="0023313B">
      <w:pPr>
        <w:pStyle w:val="ListParagraph"/>
        <w:numPr>
          <w:ilvl w:val="0"/>
          <w:numId w:val="7"/>
        </w:numPr>
        <w:spacing w:line="276" w:lineRule="auto"/>
      </w:pPr>
      <w:r w:rsidRPr="0023313B">
        <w:t>Feasibility study and site assessment</w:t>
      </w:r>
    </w:p>
    <w:p w14:paraId="6D42E302" w14:textId="77777777" w:rsidR="0023313B" w:rsidRPr="0023313B" w:rsidRDefault="0023313B" w:rsidP="0023313B">
      <w:pPr>
        <w:pStyle w:val="ListParagraph"/>
        <w:numPr>
          <w:ilvl w:val="0"/>
          <w:numId w:val="7"/>
        </w:numPr>
        <w:spacing w:line="276" w:lineRule="auto"/>
      </w:pPr>
      <w:r w:rsidRPr="0023313B">
        <w:lastRenderedPageBreak/>
        <w:t>Detailed system design and engineering</w:t>
      </w:r>
    </w:p>
    <w:p w14:paraId="3A0BC787" w14:textId="77777777" w:rsidR="0023313B" w:rsidRPr="0023313B" w:rsidRDefault="0023313B" w:rsidP="0023313B">
      <w:pPr>
        <w:pStyle w:val="ListParagraph"/>
        <w:numPr>
          <w:ilvl w:val="0"/>
          <w:numId w:val="7"/>
        </w:numPr>
        <w:spacing w:line="276" w:lineRule="auto"/>
      </w:pPr>
      <w:r w:rsidRPr="0023313B">
        <w:t>Procurement of solar panels and related equipment</w:t>
      </w:r>
    </w:p>
    <w:p w14:paraId="70F24CFF" w14:textId="77777777" w:rsidR="0023313B" w:rsidRPr="0023313B" w:rsidRDefault="0023313B" w:rsidP="0023313B">
      <w:pPr>
        <w:pStyle w:val="ListParagraph"/>
        <w:numPr>
          <w:ilvl w:val="0"/>
          <w:numId w:val="7"/>
        </w:numPr>
        <w:spacing w:line="276" w:lineRule="auto"/>
      </w:pPr>
      <w:r w:rsidRPr="0023313B">
        <w:t>Construction and installation of the solar array</w:t>
      </w:r>
    </w:p>
    <w:p w14:paraId="1A80D35E" w14:textId="77777777" w:rsidR="0023313B" w:rsidRPr="0023313B" w:rsidRDefault="0023313B" w:rsidP="0023313B">
      <w:pPr>
        <w:pStyle w:val="ListParagraph"/>
        <w:numPr>
          <w:ilvl w:val="0"/>
          <w:numId w:val="7"/>
        </w:numPr>
        <w:spacing w:line="276" w:lineRule="auto"/>
      </w:pPr>
      <w:r w:rsidRPr="0023313B">
        <w:t>System testing, commissioning, and grid connection</w:t>
      </w:r>
    </w:p>
    <w:p w14:paraId="5B397305" w14:textId="77777777" w:rsidR="0023313B" w:rsidRPr="0023313B" w:rsidRDefault="0023313B" w:rsidP="0023313B">
      <w:pPr>
        <w:pStyle w:val="ListParagraph"/>
        <w:numPr>
          <w:ilvl w:val="0"/>
          <w:numId w:val="7"/>
        </w:numPr>
        <w:spacing w:line="276" w:lineRule="auto"/>
      </w:pPr>
      <w:r w:rsidRPr="0023313B">
        <w:t>Community engagement and training programs</w:t>
      </w:r>
    </w:p>
    <w:p w14:paraId="45FE77A9" w14:textId="77777777" w:rsidR="0023313B" w:rsidRPr="0023313B" w:rsidRDefault="0023313B" w:rsidP="0023313B">
      <w:pPr>
        <w:pStyle w:val="ListParagraph"/>
        <w:numPr>
          <w:ilvl w:val="0"/>
          <w:numId w:val="7"/>
        </w:numPr>
        <w:spacing w:line="276" w:lineRule="auto"/>
      </w:pPr>
      <w:r w:rsidRPr="0023313B">
        <w:t>Operational handover and ongoing maintenance planning</w:t>
      </w:r>
    </w:p>
    <w:p w14:paraId="4E415700" w14:textId="7893F00B" w:rsidR="0023313B" w:rsidRPr="0023313B" w:rsidRDefault="0023313B" w:rsidP="0023313B">
      <w:pPr>
        <w:spacing w:line="276" w:lineRule="auto"/>
      </w:pPr>
    </w:p>
    <w:p w14:paraId="3BB37537" w14:textId="77777777" w:rsidR="0023313B" w:rsidRPr="0023313B" w:rsidRDefault="0023313B" w:rsidP="0023313B">
      <w:pPr>
        <w:pStyle w:val="Subtitle"/>
      </w:pPr>
      <w:r w:rsidRPr="0023313B">
        <w:t>Key Benefits</w:t>
      </w:r>
    </w:p>
    <w:p w14:paraId="6EA48D21" w14:textId="77777777" w:rsidR="0023313B" w:rsidRPr="0023313B" w:rsidRDefault="0023313B" w:rsidP="0023313B">
      <w:pPr>
        <w:pStyle w:val="ListParagraph"/>
        <w:numPr>
          <w:ilvl w:val="0"/>
          <w:numId w:val="8"/>
        </w:numPr>
        <w:spacing w:line="276" w:lineRule="auto"/>
      </w:pPr>
      <w:r w:rsidRPr="0023313B">
        <w:t>Economic Savings: Reduced energy bills for community facilities and residents</w:t>
      </w:r>
    </w:p>
    <w:p w14:paraId="39C71623" w14:textId="77777777" w:rsidR="0023313B" w:rsidRPr="0023313B" w:rsidRDefault="0023313B" w:rsidP="0023313B">
      <w:pPr>
        <w:pStyle w:val="ListParagraph"/>
        <w:numPr>
          <w:ilvl w:val="0"/>
          <w:numId w:val="8"/>
        </w:numPr>
        <w:spacing w:line="276" w:lineRule="auto"/>
      </w:pPr>
      <w:r w:rsidRPr="0023313B">
        <w:t>Environmental Impact: Contribution to Helena’s sustainability and climate goals</w:t>
      </w:r>
    </w:p>
    <w:p w14:paraId="25A90CF7" w14:textId="77777777" w:rsidR="0023313B" w:rsidRPr="0023313B" w:rsidRDefault="0023313B" w:rsidP="0023313B">
      <w:pPr>
        <w:pStyle w:val="ListParagraph"/>
        <w:numPr>
          <w:ilvl w:val="0"/>
          <w:numId w:val="8"/>
        </w:numPr>
        <w:spacing w:line="276" w:lineRule="auto"/>
      </w:pPr>
      <w:r w:rsidRPr="0023313B">
        <w:t>Community Ownership: Enhanced community pride and participation</w:t>
      </w:r>
    </w:p>
    <w:p w14:paraId="616327CF" w14:textId="77777777" w:rsidR="0023313B" w:rsidRPr="0023313B" w:rsidRDefault="0023313B" w:rsidP="0023313B">
      <w:pPr>
        <w:pStyle w:val="ListParagraph"/>
        <w:numPr>
          <w:ilvl w:val="0"/>
          <w:numId w:val="8"/>
        </w:numPr>
        <w:spacing w:line="276" w:lineRule="auto"/>
      </w:pPr>
      <w:r w:rsidRPr="0023313B">
        <w:t>Educational Opportunities: Public awareness campaigns and technical training for residents</w:t>
      </w:r>
    </w:p>
    <w:p w14:paraId="33FB265D" w14:textId="77777777" w:rsidR="0023313B" w:rsidRPr="0023313B" w:rsidRDefault="0023313B" w:rsidP="0023313B">
      <w:pPr>
        <w:pStyle w:val="ListParagraph"/>
        <w:numPr>
          <w:ilvl w:val="0"/>
          <w:numId w:val="8"/>
        </w:numPr>
        <w:spacing w:line="276" w:lineRule="auto"/>
      </w:pPr>
      <w:r w:rsidRPr="0023313B">
        <w:t>Scalability: Establishing a model for future renewable energy projects in Helena</w:t>
      </w:r>
    </w:p>
    <w:p w14:paraId="44FB826B" w14:textId="7C55E28F" w:rsidR="0023313B" w:rsidRPr="0023313B" w:rsidRDefault="0023313B" w:rsidP="0023313B">
      <w:pPr>
        <w:spacing w:line="276" w:lineRule="auto"/>
      </w:pPr>
    </w:p>
    <w:p w14:paraId="7FC72B64" w14:textId="77777777" w:rsidR="0023313B" w:rsidRPr="0023313B" w:rsidRDefault="0023313B" w:rsidP="0023313B">
      <w:pPr>
        <w:pStyle w:val="Subtitle"/>
      </w:pPr>
      <w:r w:rsidRPr="0023313B">
        <w:t>Project Timeline</w:t>
      </w:r>
    </w:p>
    <w:p w14:paraId="16D8AA72" w14:textId="77777777" w:rsidR="0023313B" w:rsidRPr="0023313B" w:rsidRDefault="0023313B" w:rsidP="0023313B">
      <w:pPr>
        <w:spacing w:line="276" w:lineRule="auto"/>
      </w:pPr>
      <w:r w:rsidRPr="0023313B">
        <w:t>Estimated Duration: 12 months</w:t>
      </w:r>
      <w:r w:rsidRPr="0023313B">
        <w:br/>
        <w:t>Phases:</w:t>
      </w:r>
    </w:p>
    <w:p w14:paraId="110F887F" w14:textId="77777777" w:rsidR="0023313B" w:rsidRPr="0023313B" w:rsidRDefault="0023313B" w:rsidP="0023313B">
      <w:pPr>
        <w:pStyle w:val="ListParagraph"/>
        <w:numPr>
          <w:ilvl w:val="0"/>
          <w:numId w:val="9"/>
        </w:numPr>
        <w:spacing w:line="276" w:lineRule="auto"/>
      </w:pPr>
      <w:r w:rsidRPr="0023313B">
        <w:t>Months 1–3: Planning, site assessment, and design</w:t>
      </w:r>
    </w:p>
    <w:p w14:paraId="1BF422A4" w14:textId="77777777" w:rsidR="0023313B" w:rsidRPr="0023313B" w:rsidRDefault="0023313B" w:rsidP="0023313B">
      <w:pPr>
        <w:pStyle w:val="ListParagraph"/>
        <w:numPr>
          <w:ilvl w:val="0"/>
          <w:numId w:val="9"/>
        </w:numPr>
        <w:spacing w:line="276" w:lineRule="auto"/>
      </w:pPr>
      <w:r w:rsidRPr="0023313B">
        <w:t>Months 4–6: Procurement and permitting</w:t>
      </w:r>
    </w:p>
    <w:p w14:paraId="7FE1B162" w14:textId="77777777" w:rsidR="0023313B" w:rsidRPr="0023313B" w:rsidRDefault="0023313B" w:rsidP="0023313B">
      <w:pPr>
        <w:pStyle w:val="ListParagraph"/>
        <w:numPr>
          <w:ilvl w:val="0"/>
          <w:numId w:val="9"/>
        </w:numPr>
        <w:spacing w:line="276" w:lineRule="auto"/>
      </w:pPr>
      <w:r w:rsidRPr="0023313B">
        <w:t>Months 7–10: Construction and system installation</w:t>
      </w:r>
    </w:p>
    <w:p w14:paraId="105F0B91" w14:textId="77777777" w:rsidR="0023313B" w:rsidRPr="0023313B" w:rsidRDefault="0023313B" w:rsidP="0023313B">
      <w:pPr>
        <w:pStyle w:val="ListParagraph"/>
        <w:numPr>
          <w:ilvl w:val="0"/>
          <w:numId w:val="9"/>
        </w:numPr>
        <w:spacing w:line="276" w:lineRule="auto"/>
      </w:pPr>
      <w:r w:rsidRPr="0023313B">
        <w:t>Months 11–12: Testing, commissioning, and project closeout</w:t>
      </w:r>
    </w:p>
    <w:p w14:paraId="294B8308" w14:textId="58C3F011" w:rsidR="0023313B" w:rsidRPr="0023313B" w:rsidRDefault="0023313B" w:rsidP="0023313B">
      <w:pPr>
        <w:spacing w:line="276" w:lineRule="auto"/>
      </w:pPr>
    </w:p>
    <w:p w14:paraId="50EE9D13" w14:textId="77777777" w:rsidR="0023313B" w:rsidRPr="0023313B" w:rsidRDefault="0023313B" w:rsidP="0023313B">
      <w:pPr>
        <w:pStyle w:val="Subtitle"/>
      </w:pPr>
      <w:r w:rsidRPr="0023313B">
        <w:t>Estimated Budget</w:t>
      </w:r>
    </w:p>
    <w:p w14:paraId="63CC9300" w14:textId="6D3C0FD6" w:rsidR="0023313B" w:rsidRPr="0023313B" w:rsidRDefault="0023313B" w:rsidP="0023313B">
      <w:pPr>
        <w:spacing w:line="276" w:lineRule="auto"/>
      </w:pPr>
      <w:r w:rsidRPr="0023313B">
        <w:t>Total Budget: $450,000</w:t>
      </w:r>
      <w:r w:rsidRPr="0023313B">
        <w:br/>
        <w:t>Includes equipment costs, labor, permits, community outreach, and quality assurance measures.</w:t>
      </w:r>
      <w:r>
        <w:br w:type="page"/>
      </w:r>
    </w:p>
    <w:p w14:paraId="1FA8C449" w14:textId="77777777" w:rsidR="0023313B" w:rsidRPr="0023313B" w:rsidRDefault="0023313B" w:rsidP="0023313B">
      <w:pPr>
        <w:pStyle w:val="Subtitle"/>
      </w:pPr>
      <w:r w:rsidRPr="0023313B">
        <w:lastRenderedPageBreak/>
        <w:t>Project Team and Stakeholders</w:t>
      </w:r>
    </w:p>
    <w:p w14:paraId="287EF6CB" w14:textId="77777777" w:rsidR="0023313B" w:rsidRPr="0023313B" w:rsidRDefault="0023313B" w:rsidP="0023313B">
      <w:pPr>
        <w:pStyle w:val="ListParagraph"/>
        <w:numPr>
          <w:ilvl w:val="0"/>
          <w:numId w:val="10"/>
        </w:numPr>
        <w:spacing w:line="276" w:lineRule="auto"/>
      </w:pPr>
      <w:r w:rsidRPr="0023313B">
        <w:t>Project Sponsor: Dr. Linda Thornton</w:t>
      </w:r>
    </w:p>
    <w:p w14:paraId="29CE8E28" w14:textId="77777777" w:rsidR="0023313B" w:rsidRPr="0023313B" w:rsidRDefault="0023313B" w:rsidP="0023313B">
      <w:pPr>
        <w:pStyle w:val="ListParagraph"/>
        <w:numPr>
          <w:ilvl w:val="0"/>
          <w:numId w:val="10"/>
        </w:numPr>
        <w:spacing w:line="276" w:lineRule="auto"/>
      </w:pPr>
      <w:r w:rsidRPr="0023313B">
        <w:t>Project Manager: Mark Ellis</w:t>
      </w:r>
    </w:p>
    <w:p w14:paraId="74306826" w14:textId="77777777" w:rsidR="0023313B" w:rsidRPr="0023313B" w:rsidRDefault="0023313B" w:rsidP="0023313B">
      <w:pPr>
        <w:pStyle w:val="ListParagraph"/>
        <w:numPr>
          <w:ilvl w:val="0"/>
          <w:numId w:val="10"/>
        </w:numPr>
        <w:spacing w:line="276" w:lineRule="auto"/>
      </w:pPr>
      <w:r w:rsidRPr="0023313B">
        <w:t>Technical Lead: Carla Mendoza</w:t>
      </w:r>
    </w:p>
    <w:p w14:paraId="00186EEC" w14:textId="77777777" w:rsidR="0023313B" w:rsidRPr="0023313B" w:rsidRDefault="0023313B" w:rsidP="0023313B">
      <w:pPr>
        <w:pStyle w:val="ListParagraph"/>
        <w:numPr>
          <w:ilvl w:val="0"/>
          <w:numId w:val="10"/>
        </w:numPr>
        <w:spacing w:line="276" w:lineRule="auto"/>
      </w:pPr>
      <w:r w:rsidRPr="0023313B">
        <w:t>Steering Committee: Helena Sustainability Council</w:t>
      </w:r>
    </w:p>
    <w:p w14:paraId="4464039D" w14:textId="77777777" w:rsidR="0023313B" w:rsidRPr="0023313B" w:rsidRDefault="0023313B" w:rsidP="0023313B">
      <w:pPr>
        <w:pStyle w:val="ListParagraph"/>
        <w:numPr>
          <w:ilvl w:val="0"/>
          <w:numId w:val="10"/>
        </w:numPr>
        <w:spacing w:line="276" w:lineRule="auto"/>
      </w:pPr>
      <w:r w:rsidRPr="0023313B">
        <w:t>Community Stakeholders: Helena residents and local businesses</w:t>
      </w:r>
    </w:p>
    <w:p w14:paraId="4BEB7A7F" w14:textId="77777777" w:rsidR="0023313B" w:rsidRPr="0023313B" w:rsidRDefault="0023313B" w:rsidP="0023313B">
      <w:pPr>
        <w:pStyle w:val="ListParagraph"/>
        <w:numPr>
          <w:ilvl w:val="0"/>
          <w:numId w:val="10"/>
        </w:numPr>
        <w:spacing w:line="276" w:lineRule="auto"/>
      </w:pPr>
      <w:r w:rsidRPr="0023313B">
        <w:t>Customer: The Helena Community</w:t>
      </w:r>
    </w:p>
    <w:p w14:paraId="23C74729" w14:textId="4411E0AE" w:rsidR="0023313B" w:rsidRPr="0023313B" w:rsidRDefault="0023313B" w:rsidP="0023313B">
      <w:pPr>
        <w:spacing w:line="276" w:lineRule="auto"/>
      </w:pPr>
    </w:p>
    <w:p w14:paraId="2F01AE63" w14:textId="77777777" w:rsidR="0023313B" w:rsidRDefault="0023313B" w:rsidP="0023313B">
      <w:pPr>
        <w:pStyle w:val="Subtitle"/>
      </w:pPr>
      <w:r w:rsidRPr="0023313B">
        <w:t>Risks and Mitigation</w:t>
      </w:r>
    </w:p>
    <w:tbl>
      <w:tblPr>
        <w:tblStyle w:val="TableGrid"/>
        <w:tblW w:w="0" w:type="auto"/>
        <w:tblLook w:val="04A0" w:firstRow="1" w:lastRow="0" w:firstColumn="1" w:lastColumn="0" w:noHBand="0" w:noVBand="1"/>
      </w:tblPr>
      <w:tblGrid>
        <w:gridCol w:w="4675"/>
        <w:gridCol w:w="4675"/>
      </w:tblGrid>
      <w:tr w:rsidR="0023313B" w14:paraId="2CE404DB" w14:textId="77777777" w:rsidTr="00E15379">
        <w:tc>
          <w:tcPr>
            <w:tcW w:w="4675" w:type="dxa"/>
            <w:shd w:val="clear" w:color="auto" w:fill="auto"/>
          </w:tcPr>
          <w:p w14:paraId="5E77ECE0" w14:textId="544A6CE0" w:rsidR="0023313B" w:rsidRPr="0023313B" w:rsidRDefault="0023313B" w:rsidP="0023313B">
            <w:pPr>
              <w:rPr>
                <w:b/>
                <w:bCs/>
              </w:rPr>
            </w:pPr>
            <w:r w:rsidRPr="0023313B">
              <w:rPr>
                <w:b/>
                <w:bCs/>
              </w:rPr>
              <w:t>Risk</w:t>
            </w:r>
          </w:p>
        </w:tc>
        <w:tc>
          <w:tcPr>
            <w:tcW w:w="4675" w:type="dxa"/>
            <w:shd w:val="clear" w:color="auto" w:fill="auto"/>
            <w:vAlign w:val="center"/>
          </w:tcPr>
          <w:p w14:paraId="39C74663" w14:textId="63CD1D6C" w:rsidR="0023313B" w:rsidRPr="0023313B" w:rsidRDefault="0023313B" w:rsidP="0023313B">
            <w:pPr>
              <w:rPr>
                <w:b/>
                <w:bCs/>
              </w:rPr>
            </w:pPr>
            <w:r w:rsidRPr="0023313B">
              <w:rPr>
                <w:b/>
                <w:bCs/>
              </w:rPr>
              <w:t>Mitigation Strategy</w:t>
            </w:r>
          </w:p>
        </w:tc>
      </w:tr>
      <w:tr w:rsidR="0023313B" w14:paraId="5C706D1A" w14:textId="77777777" w:rsidTr="00E15379">
        <w:tc>
          <w:tcPr>
            <w:tcW w:w="4675" w:type="dxa"/>
            <w:shd w:val="clear" w:color="auto" w:fill="auto"/>
            <w:vAlign w:val="center"/>
          </w:tcPr>
          <w:p w14:paraId="429B0493" w14:textId="470E25E9" w:rsidR="0023313B" w:rsidRDefault="0023313B" w:rsidP="0023313B">
            <w:r w:rsidRPr="0023313B">
              <w:t>Weather delays</w:t>
            </w:r>
          </w:p>
        </w:tc>
        <w:tc>
          <w:tcPr>
            <w:tcW w:w="4675" w:type="dxa"/>
            <w:shd w:val="clear" w:color="auto" w:fill="auto"/>
          </w:tcPr>
          <w:p w14:paraId="500B4C06" w14:textId="67FDD33A" w:rsidR="0023313B" w:rsidRDefault="0023313B" w:rsidP="0023313B">
            <w:r w:rsidRPr="0023313B">
              <w:t>Schedule flexibility and buffer time</w:t>
            </w:r>
          </w:p>
        </w:tc>
      </w:tr>
      <w:tr w:rsidR="0023313B" w14:paraId="70595DED" w14:textId="77777777" w:rsidTr="00E15379">
        <w:tc>
          <w:tcPr>
            <w:tcW w:w="4675" w:type="dxa"/>
            <w:shd w:val="clear" w:color="auto" w:fill="auto"/>
          </w:tcPr>
          <w:p w14:paraId="60166000" w14:textId="7B3AFD17" w:rsidR="0023313B" w:rsidRDefault="0023313B" w:rsidP="0023313B">
            <w:r w:rsidRPr="0023313B">
              <w:t>Supply chain disruptions</w:t>
            </w:r>
          </w:p>
        </w:tc>
        <w:tc>
          <w:tcPr>
            <w:tcW w:w="4675" w:type="dxa"/>
            <w:shd w:val="clear" w:color="auto" w:fill="auto"/>
            <w:vAlign w:val="center"/>
          </w:tcPr>
          <w:p w14:paraId="556DCCDF" w14:textId="37971EFA" w:rsidR="0023313B" w:rsidRDefault="0023313B" w:rsidP="0023313B">
            <w:r w:rsidRPr="0023313B">
              <w:t>Multiple vendor contracts and early procurement</w:t>
            </w:r>
          </w:p>
        </w:tc>
      </w:tr>
      <w:tr w:rsidR="0023313B" w14:paraId="66A717D2" w14:textId="77777777" w:rsidTr="00E15379">
        <w:tc>
          <w:tcPr>
            <w:tcW w:w="4675" w:type="dxa"/>
            <w:shd w:val="clear" w:color="auto" w:fill="auto"/>
            <w:vAlign w:val="center"/>
          </w:tcPr>
          <w:p w14:paraId="2F7541EA" w14:textId="077B1C26" w:rsidR="0023313B" w:rsidRDefault="0023313B" w:rsidP="0023313B">
            <w:r w:rsidRPr="0023313B">
              <w:t>Community engagement gaps</w:t>
            </w:r>
          </w:p>
        </w:tc>
        <w:tc>
          <w:tcPr>
            <w:tcW w:w="4675" w:type="dxa"/>
            <w:shd w:val="clear" w:color="auto" w:fill="auto"/>
          </w:tcPr>
          <w:p w14:paraId="406E6861" w14:textId="15D6F93C" w:rsidR="0023313B" w:rsidRDefault="0023313B" w:rsidP="0023313B">
            <w:r w:rsidRPr="0023313B">
              <w:t>Regular updates, workshops, and feedback loops</w:t>
            </w:r>
          </w:p>
        </w:tc>
      </w:tr>
      <w:tr w:rsidR="0023313B" w14:paraId="12F82EE2" w14:textId="77777777" w:rsidTr="00E15379">
        <w:tc>
          <w:tcPr>
            <w:tcW w:w="4675" w:type="dxa"/>
            <w:shd w:val="clear" w:color="auto" w:fill="auto"/>
          </w:tcPr>
          <w:p w14:paraId="3349B12D" w14:textId="126E9828" w:rsidR="0023313B" w:rsidRDefault="0023313B" w:rsidP="0023313B">
            <w:r w:rsidRPr="0023313B">
              <w:t>Regulatory approvals</w:t>
            </w:r>
          </w:p>
        </w:tc>
        <w:tc>
          <w:tcPr>
            <w:tcW w:w="4675" w:type="dxa"/>
            <w:shd w:val="clear" w:color="auto" w:fill="auto"/>
          </w:tcPr>
          <w:p w14:paraId="2D1ED5AE" w14:textId="164D1E66" w:rsidR="0023313B" w:rsidRDefault="0023313B" w:rsidP="0023313B">
            <w:r w:rsidRPr="0023313B">
              <w:t>Early engagement with permitting authorities</w:t>
            </w:r>
          </w:p>
        </w:tc>
      </w:tr>
    </w:tbl>
    <w:p w14:paraId="20180743" w14:textId="5C60ED82" w:rsidR="0023313B" w:rsidRPr="0023313B" w:rsidRDefault="0023313B" w:rsidP="0023313B">
      <w:pPr>
        <w:spacing w:line="276" w:lineRule="auto"/>
      </w:pPr>
    </w:p>
    <w:p w14:paraId="54DB631D" w14:textId="77777777" w:rsidR="0023313B" w:rsidRPr="0023313B" w:rsidRDefault="0023313B" w:rsidP="0023313B">
      <w:pPr>
        <w:pStyle w:val="Subtitle"/>
      </w:pPr>
      <w:r w:rsidRPr="0023313B">
        <w:t>Conclusion &amp; Call to Action</w:t>
      </w:r>
    </w:p>
    <w:p w14:paraId="7F763E33" w14:textId="54BC8CFF" w:rsidR="0023313B" w:rsidRPr="0023313B" w:rsidRDefault="0023313B" w:rsidP="0023313B">
      <w:pPr>
        <w:spacing w:line="276" w:lineRule="auto"/>
        <w:ind w:firstLine="720"/>
      </w:pPr>
      <w:r w:rsidRPr="0023313B">
        <w:t>The Helena Community Solar Installation Project presents an exciting opportunity to create lasting positive changes in Helena. By investing in this project, we can deliver tangible economic, environmental, and social benefits for current and future generations. We seek the support and active participation of all stakeholders to bring this vision to life.</w:t>
      </w:r>
    </w:p>
    <w:p w14:paraId="2242ACEE" w14:textId="1C6DC4FD" w:rsidR="00C319EC" w:rsidRPr="0023313B" w:rsidRDefault="0023313B" w:rsidP="0023313B">
      <w:pPr>
        <w:spacing w:line="276" w:lineRule="auto"/>
      </w:pPr>
      <w:r w:rsidRPr="0023313B">
        <w:t>Let’s power Helena’s future—together.</w:t>
      </w:r>
    </w:p>
    <w:sectPr w:rsidR="00C319EC" w:rsidRPr="0023313B" w:rsidSect="0095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0A45"/>
    <w:multiLevelType w:val="multilevel"/>
    <w:tmpl w:val="748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81C6B"/>
    <w:multiLevelType w:val="hybridMultilevel"/>
    <w:tmpl w:val="DFEC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1811"/>
    <w:multiLevelType w:val="multilevel"/>
    <w:tmpl w:val="F95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9795C"/>
    <w:multiLevelType w:val="multilevel"/>
    <w:tmpl w:val="2812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244B3"/>
    <w:multiLevelType w:val="hybridMultilevel"/>
    <w:tmpl w:val="9594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71F4A"/>
    <w:multiLevelType w:val="hybridMultilevel"/>
    <w:tmpl w:val="445A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A5A41"/>
    <w:multiLevelType w:val="hybridMultilevel"/>
    <w:tmpl w:val="757C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D6AB0"/>
    <w:multiLevelType w:val="multilevel"/>
    <w:tmpl w:val="6DD6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84D83"/>
    <w:multiLevelType w:val="multilevel"/>
    <w:tmpl w:val="E2F2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85FDF"/>
    <w:multiLevelType w:val="hybridMultilevel"/>
    <w:tmpl w:val="6B72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242363">
    <w:abstractNumId w:val="7"/>
  </w:num>
  <w:num w:numId="2" w16cid:durableId="167446898">
    <w:abstractNumId w:val="8"/>
  </w:num>
  <w:num w:numId="3" w16cid:durableId="1495562391">
    <w:abstractNumId w:val="2"/>
  </w:num>
  <w:num w:numId="4" w16cid:durableId="343628509">
    <w:abstractNumId w:val="0"/>
  </w:num>
  <w:num w:numId="5" w16cid:durableId="1183520866">
    <w:abstractNumId w:val="3"/>
  </w:num>
  <w:num w:numId="6" w16cid:durableId="854071592">
    <w:abstractNumId w:val="4"/>
  </w:num>
  <w:num w:numId="7" w16cid:durableId="940995833">
    <w:abstractNumId w:val="5"/>
  </w:num>
  <w:num w:numId="8" w16cid:durableId="688917459">
    <w:abstractNumId w:val="6"/>
  </w:num>
  <w:num w:numId="9" w16cid:durableId="1134710993">
    <w:abstractNumId w:val="1"/>
  </w:num>
  <w:num w:numId="10" w16cid:durableId="821429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3B"/>
    <w:rsid w:val="0023313B"/>
    <w:rsid w:val="00511212"/>
    <w:rsid w:val="006D6DED"/>
    <w:rsid w:val="00956AC1"/>
    <w:rsid w:val="00C319EC"/>
    <w:rsid w:val="00E15379"/>
    <w:rsid w:val="00F4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510C"/>
  <w15:chartTrackingRefBased/>
  <w15:docId w15:val="{D281884B-428F-485C-907C-A4F78CD2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3B"/>
  </w:style>
  <w:style w:type="paragraph" w:styleId="Heading1">
    <w:name w:val="heading 1"/>
    <w:basedOn w:val="Normal"/>
    <w:next w:val="Normal"/>
    <w:link w:val="Heading1Char"/>
    <w:uiPriority w:val="9"/>
    <w:qFormat/>
    <w:rsid w:val="00233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3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3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13B"/>
    <w:rPr>
      <w:rFonts w:eastAsiaTheme="majorEastAsia" w:cstheme="majorBidi"/>
      <w:color w:val="272727" w:themeColor="text1" w:themeTint="D8"/>
    </w:rPr>
  </w:style>
  <w:style w:type="paragraph" w:styleId="Title">
    <w:name w:val="Title"/>
    <w:basedOn w:val="Normal"/>
    <w:next w:val="Normal"/>
    <w:link w:val="TitleChar"/>
    <w:uiPriority w:val="10"/>
    <w:qFormat/>
    <w:rsid w:val="00233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13B"/>
    <w:pPr>
      <w:spacing w:before="160"/>
      <w:jc w:val="center"/>
    </w:pPr>
    <w:rPr>
      <w:i/>
      <w:iCs/>
      <w:color w:val="404040" w:themeColor="text1" w:themeTint="BF"/>
    </w:rPr>
  </w:style>
  <w:style w:type="character" w:customStyle="1" w:styleId="QuoteChar">
    <w:name w:val="Quote Char"/>
    <w:basedOn w:val="DefaultParagraphFont"/>
    <w:link w:val="Quote"/>
    <w:uiPriority w:val="29"/>
    <w:rsid w:val="0023313B"/>
    <w:rPr>
      <w:i/>
      <w:iCs/>
      <w:color w:val="404040" w:themeColor="text1" w:themeTint="BF"/>
    </w:rPr>
  </w:style>
  <w:style w:type="paragraph" w:styleId="ListParagraph">
    <w:name w:val="List Paragraph"/>
    <w:basedOn w:val="Normal"/>
    <w:uiPriority w:val="34"/>
    <w:qFormat/>
    <w:rsid w:val="0023313B"/>
    <w:pPr>
      <w:ind w:left="720"/>
      <w:contextualSpacing/>
    </w:pPr>
  </w:style>
  <w:style w:type="character" w:styleId="IntenseEmphasis">
    <w:name w:val="Intense Emphasis"/>
    <w:basedOn w:val="DefaultParagraphFont"/>
    <w:uiPriority w:val="21"/>
    <w:qFormat/>
    <w:rsid w:val="0023313B"/>
    <w:rPr>
      <w:i/>
      <w:iCs/>
      <w:color w:val="0F4761" w:themeColor="accent1" w:themeShade="BF"/>
    </w:rPr>
  </w:style>
  <w:style w:type="paragraph" w:styleId="IntenseQuote">
    <w:name w:val="Intense Quote"/>
    <w:basedOn w:val="Normal"/>
    <w:next w:val="Normal"/>
    <w:link w:val="IntenseQuoteChar"/>
    <w:uiPriority w:val="30"/>
    <w:qFormat/>
    <w:rsid w:val="00233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13B"/>
    <w:rPr>
      <w:i/>
      <w:iCs/>
      <w:color w:val="0F4761" w:themeColor="accent1" w:themeShade="BF"/>
    </w:rPr>
  </w:style>
  <w:style w:type="character" w:styleId="IntenseReference">
    <w:name w:val="Intense Reference"/>
    <w:basedOn w:val="DefaultParagraphFont"/>
    <w:uiPriority w:val="32"/>
    <w:qFormat/>
    <w:rsid w:val="0023313B"/>
    <w:rPr>
      <w:b/>
      <w:bCs/>
      <w:smallCaps/>
      <w:color w:val="0F4761" w:themeColor="accent1" w:themeShade="BF"/>
      <w:spacing w:val="5"/>
    </w:rPr>
  </w:style>
  <w:style w:type="table" w:styleId="TableGrid">
    <w:name w:val="Table Grid"/>
    <w:basedOn w:val="TableNormal"/>
    <w:uiPriority w:val="39"/>
    <w:rsid w:val="00233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955178">
      <w:bodyDiv w:val="1"/>
      <w:marLeft w:val="0"/>
      <w:marRight w:val="0"/>
      <w:marTop w:val="0"/>
      <w:marBottom w:val="0"/>
      <w:divBdr>
        <w:top w:val="none" w:sz="0" w:space="0" w:color="auto"/>
        <w:left w:val="none" w:sz="0" w:space="0" w:color="auto"/>
        <w:bottom w:val="none" w:sz="0" w:space="0" w:color="auto"/>
        <w:right w:val="none" w:sz="0" w:space="0" w:color="auto"/>
      </w:divBdr>
      <w:divsChild>
        <w:div w:id="291331866">
          <w:marLeft w:val="0"/>
          <w:marRight w:val="0"/>
          <w:marTop w:val="0"/>
          <w:marBottom w:val="0"/>
          <w:divBdr>
            <w:top w:val="none" w:sz="0" w:space="0" w:color="auto"/>
            <w:left w:val="none" w:sz="0" w:space="0" w:color="auto"/>
            <w:bottom w:val="none" w:sz="0" w:space="0" w:color="auto"/>
            <w:right w:val="none" w:sz="0" w:space="0" w:color="auto"/>
          </w:divBdr>
          <w:divsChild>
            <w:div w:id="7819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071">
      <w:bodyDiv w:val="1"/>
      <w:marLeft w:val="0"/>
      <w:marRight w:val="0"/>
      <w:marTop w:val="0"/>
      <w:marBottom w:val="0"/>
      <w:divBdr>
        <w:top w:val="none" w:sz="0" w:space="0" w:color="auto"/>
        <w:left w:val="none" w:sz="0" w:space="0" w:color="auto"/>
        <w:bottom w:val="none" w:sz="0" w:space="0" w:color="auto"/>
        <w:right w:val="none" w:sz="0" w:space="0" w:color="auto"/>
      </w:divBdr>
      <w:divsChild>
        <w:div w:id="2050104051">
          <w:marLeft w:val="0"/>
          <w:marRight w:val="0"/>
          <w:marTop w:val="0"/>
          <w:marBottom w:val="0"/>
          <w:divBdr>
            <w:top w:val="none" w:sz="0" w:space="0" w:color="auto"/>
            <w:left w:val="none" w:sz="0" w:space="0" w:color="auto"/>
            <w:bottom w:val="none" w:sz="0" w:space="0" w:color="auto"/>
            <w:right w:val="none" w:sz="0" w:space="0" w:color="auto"/>
          </w:divBdr>
          <w:divsChild>
            <w:div w:id="20212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C09483-4F0A-44B9-B889-375DADA1EDD4}">
  <ds:schemaRefs>
    <ds:schemaRef ds:uri="http://schemas.microsoft.com/office/2006/metadata/properties"/>
    <ds:schemaRef ds:uri="http://schemas.microsoft.com/office/infopath/2007/PartnerControls"/>
    <ds:schemaRef ds:uri="8ff7d323-aff5-49f4-b17b-7544c3beef4a"/>
  </ds:schemaRefs>
</ds:datastoreItem>
</file>

<file path=customXml/itemProps2.xml><?xml version="1.0" encoding="utf-8"?>
<ds:datastoreItem xmlns:ds="http://schemas.openxmlformats.org/officeDocument/2006/customXml" ds:itemID="{11CA93E8-1E2E-4494-BE1A-9D3E49404579}">
  <ds:schemaRefs>
    <ds:schemaRef ds:uri="http://schemas.microsoft.com/sharepoint/v3/contenttype/forms"/>
  </ds:schemaRefs>
</ds:datastoreItem>
</file>

<file path=customXml/itemProps3.xml><?xml version="1.0" encoding="utf-8"?>
<ds:datastoreItem xmlns:ds="http://schemas.openxmlformats.org/officeDocument/2006/customXml" ds:itemID="{095475E9-0905-4EBF-9A48-A4F94A68C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4</cp:revision>
  <dcterms:created xsi:type="dcterms:W3CDTF">2025-04-09T16:32:00Z</dcterms:created>
  <dcterms:modified xsi:type="dcterms:W3CDTF">2025-04-09T17:11:00Z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