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7E468" w14:textId="77777777" w:rsidR="00F24122" w:rsidRDefault="00000000">
      <w:pPr>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1CBB6728" wp14:editId="5C7129AB">
            <wp:extent cx="5267960" cy="1847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7960" cy="1848245"/>
                    </a:xfrm>
                    <a:prstGeom prst="rect">
                      <a:avLst/>
                    </a:prstGeom>
                    <a:noFill/>
                    <a:ln>
                      <a:noFill/>
                    </a:ln>
                  </pic:spPr>
                </pic:pic>
              </a:graphicData>
            </a:graphic>
          </wp:inline>
        </w:drawing>
      </w:r>
    </w:p>
    <w:p w14:paraId="5A6230F7"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S1</w:t>
      </w:r>
      <w:r>
        <w:rPr>
          <w:rFonts w:ascii="Times New Roman" w:eastAsia="宋体" w:hAnsi="Times New Roman" w:cs="Times New Roman" w:hint="eastAsia"/>
          <w:b/>
          <w:bCs/>
          <w:color w:val="000000" w:themeColor="text1"/>
          <w:sz w:val="24"/>
          <w:szCs w:val="24"/>
          <w:shd w:val="clear" w:color="auto" w:fill="FFFFFF"/>
        </w:rPr>
        <w:t>.</w:t>
      </w:r>
      <w:r>
        <w:rPr>
          <w:rFonts w:ascii="Times New Roman" w:eastAsia="宋体" w:hAnsi="Times New Roman" w:cs="Times New Roman"/>
          <w:color w:val="000000" w:themeColor="text1"/>
          <w:sz w:val="24"/>
          <w:szCs w:val="24"/>
          <w:shd w:val="clear" w:color="auto" w:fill="FFFFFF"/>
        </w:rPr>
        <w:t xml:space="preserve"> Multi-omics comparative analyses of queen and worker larvae. (A</w:t>
      </w:r>
      <w:r>
        <w:rPr>
          <w:rFonts w:ascii="Times New Roman" w:eastAsia="宋体" w:hAnsi="Times New Roman" w:cs="Times New Roman"/>
          <w:b/>
          <w:color w:val="000000" w:themeColor="text1"/>
          <w:sz w:val="24"/>
          <w:szCs w:val="24"/>
          <w:shd w:val="clear" w:color="auto" w:fill="FFFFFF"/>
        </w:rPr>
        <w:t>-C</w:t>
      </w:r>
      <w:r>
        <w:rPr>
          <w:rFonts w:ascii="Times New Roman" w:eastAsia="宋体" w:hAnsi="Times New Roman" w:cs="Times New Roman"/>
          <w:color w:val="000000" w:themeColor="text1"/>
          <w:sz w:val="24"/>
          <w:szCs w:val="24"/>
          <w:shd w:val="clear" w:color="auto" w:fill="FFFFFF"/>
        </w:rPr>
        <w:t>) Correlation analysis of ATAC-seq, ChIP-seq and RNA-seq sequencing libraries of queen and worker larvae. 2Q: second-instar queen larvae. 4Q: fourth-instar queen larvae. 2W: second-instar worker larvae. 4W: fourth-instar worker larvae.</w:t>
      </w:r>
    </w:p>
    <w:p w14:paraId="03FD53A5" w14:textId="77777777" w:rsidR="00F24122" w:rsidRDefault="00000000">
      <w:pPr>
        <w:widowControl/>
        <w:adjustRightInd w:val="0"/>
        <w:snapToGrid w:val="0"/>
        <w:spacing w:line="480" w:lineRule="auto"/>
        <w:outlineLvl w:val="0"/>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7C58718A" wp14:editId="6808B4F7">
            <wp:extent cx="5267960" cy="5841365"/>
            <wp:effectExtent l="0" t="0" r="8890" b="6985"/>
            <wp:docPr id="4" name="图片 4" descr="C:\Users\永\AppData\Local\Microsoft\Windows\INetCache\Content.Word\Fig.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永\AppData\Local\Microsoft\Windows\INetCache\Content.Word\Fig.S2.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67960" cy="5841365"/>
                    </a:xfrm>
                    <a:prstGeom prst="rect">
                      <a:avLst/>
                    </a:prstGeom>
                    <a:noFill/>
                    <a:ln>
                      <a:noFill/>
                    </a:ln>
                  </pic:spPr>
                </pic:pic>
              </a:graphicData>
            </a:graphic>
          </wp:inline>
        </w:drawing>
      </w:r>
    </w:p>
    <w:p w14:paraId="287E813D"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w:t>
      </w:r>
      <w:r>
        <w:rPr>
          <w:rFonts w:ascii="Times New Roman" w:eastAsia="宋体" w:hAnsi="Times New Roman" w:cs="Times New Roman" w:hint="eastAsia"/>
          <w:b/>
          <w:bCs/>
          <w:color w:val="000000" w:themeColor="text1"/>
          <w:sz w:val="24"/>
          <w:szCs w:val="24"/>
          <w:shd w:val="clear" w:color="auto" w:fill="FFFFFF"/>
        </w:rPr>
        <w:t>2.</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b/>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Pie plot showing local compartment numbers divided by stable (A-A and B-B) and switching (A-B and B-A) compartments in 2Q vs 2W and 4Q vs 4W, respectively. (</w:t>
      </w:r>
      <w:r>
        <w:rPr>
          <w:rFonts w:ascii="Times New Roman" w:eastAsia="宋体" w:hAnsi="Times New Roman" w:cs="Times New Roman"/>
          <w:b/>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 xml:space="preserve">) Venn diagrams of genes of A/B switched and differentially expressed genes. p values of the overlap between the two datasets were calculated by performing fisher's exact test with the total number of </w:t>
      </w:r>
      <w:r>
        <w:rPr>
          <w:rFonts w:ascii="Times New Roman" w:eastAsia="宋体" w:hAnsi="Times New Roman" w:cs="Times New Roman"/>
          <w:i/>
          <w:iCs/>
          <w:color w:val="000000" w:themeColor="text1"/>
          <w:sz w:val="24"/>
          <w:szCs w:val="24"/>
          <w:shd w:val="clear" w:color="auto" w:fill="FFFFFF"/>
        </w:rPr>
        <w:t>Apis mellifera</w:t>
      </w:r>
      <w:r>
        <w:rPr>
          <w:rFonts w:ascii="Times New Roman" w:eastAsia="宋体" w:hAnsi="Times New Roman" w:cs="Times New Roman"/>
          <w:color w:val="000000" w:themeColor="text1"/>
          <w:sz w:val="24"/>
          <w:szCs w:val="24"/>
          <w:shd w:val="clear" w:color="auto" w:fill="FFFFFF"/>
        </w:rPr>
        <w:t xml:space="preserve"> genes we've detected (10366) as the reference. (</w:t>
      </w:r>
      <w:r>
        <w:rPr>
          <w:rFonts w:ascii="Times New Roman" w:eastAsia="宋体" w:hAnsi="Times New Roman" w:cs="Times New Roman"/>
          <w:b/>
          <w:color w:val="000000" w:themeColor="text1"/>
          <w:sz w:val="24"/>
          <w:szCs w:val="24"/>
          <w:shd w:val="clear" w:color="auto" w:fill="FFFFFF"/>
        </w:rPr>
        <w:t>C-D</w:t>
      </w:r>
      <w:r>
        <w:rPr>
          <w:rFonts w:ascii="Times New Roman" w:eastAsia="宋体" w:hAnsi="Times New Roman" w:cs="Times New Roman"/>
          <w:color w:val="000000" w:themeColor="text1"/>
          <w:sz w:val="24"/>
          <w:szCs w:val="24"/>
          <w:shd w:val="clear" w:color="auto" w:fill="FFFFFF"/>
        </w:rPr>
        <w:t xml:space="preserve">) KEGG pathway of differentially expressed genes identified by both Hi-C and RNA-seq in queen and worker. Bold red indicates that this pathway is </w:t>
      </w:r>
      <w:r>
        <w:rPr>
          <w:rFonts w:ascii="Times New Roman" w:eastAsia="宋体" w:hAnsi="Times New Roman" w:cs="Times New Roman"/>
          <w:color w:val="000000" w:themeColor="text1"/>
          <w:sz w:val="24"/>
          <w:szCs w:val="24"/>
          <w:shd w:val="clear" w:color="auto" w:fill="FFFFFF"/>
        </w:rPr>
        <w:lastRenderedPageBreak/>
        <w:t>associated with caste differentiation, and the bottom KEGG pathway is the top 10 significant pathway. (</w:t>
      </w:r>
      <w:r>
        <w:rPr>
          <w:rFonts w:ascii="Times New Roman" w:eastAsia="宋体" w:hAnsi="Times New Roman" w:cs="Times New Roman"/>
          <w:b/>
          <w:color w:val="000000" w:themeColor="text1"/>
          <w:sz w:val="24"/>
          <w:szCs w:val="24"/>
          <w:shd w:val="clear" w:color="auto" w:fill="FFFFFF"/>
        </w:rPr>
        <w:t>E</w:t>
      </w:r>
      <w:r>
        <w:rPr>
          <w:rFonts w:ascii="Times New Roman" w:eastAsia="宋体" w:hAnsi="Times New Roman" w:cs="Times New Roman"/>
          <w:color w:val="000000" w:themeColor="text1"/>
          <w:sz w:val="24"/>
          <w:szCs w:val="24"/>
          <w:shd w:val="clear" w:color="auto" w:fill="FFFFFF"/>
        </w:rPr>
        <w:t>) KEGG pathway of DEGs in 4Q. (</w:t>
      </w:r>
      <w:r>
        <w:rPr>
          <w:rFonts w:ascii="Times New Roman" w:eastAsia="宋体" w:hAnsi="Times New Roman" w:cs="Times New Roman"/>
          <w:b/>
          <w:color w:val="000000" w:themeColor="text1"/>
          <w:sz w:val="24"/>
          <w:szCs w:val="24"/>
          <w:shd w:val="clear" w:color="auto" w:fill="FFFFFF"/>
        </w:rPr>
        <w:t>F</w:t>
      </w:r>
      <w:r>
        <w:rPr>
          <w:rFonts w:ascii="Times New Roman" w:eastAsia="宋体" w:hAnsi="Times New Roman" w:cs="Times New Roman"/>
          <w:color w:val="000000" w:themeColor="text1"/>
          <w:sz w:val="24"/>
          <w:szCs w:val="24"/>
          <w:shd w:val="clear" w:color="auto" w:fill="FFFFFF"/>
        </w:rPr>
        <w:t>) KEGG pathway of DEGs in 4W. Bold red indicates that this pathway is associated with caste differentiation, and the bottom KEGG pathway is the top 10 significant pathway.</w:t>
      </w:r>
    </w:p>
    <w:p w14:paraId="1830BFA7" w14:textId="77777777" w:rsidR="00F24122" w:rsidRDefault="00000000">
      <w:pPr>
        <w:widowControl/>
        <w:adjustRightInd w:val="0"/>
        <w:snapToGrid w:val="0"/>
        <w:spacing w:line="480" w:lineRule="auto"/>
        <w:outlineLvl w:val="0"/>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31134F0F" wp14:editId="4CCCB86F">
            <wp:extent cx="5267960" cy="2743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960" cy="2744280"/>
                    </a:xfrm>
                    <a:prstGeom prst="rect">
                      <a:avLst/>
                    </a:prstGeom>
                    <a:noFill/>
                    <a:ln>
                      <a:noFill/>
                    </a:ln>
                  </pic:spPr>
                </pic:pic>
              </a:graphicData>
            </a:graphic>
          </wp:inline>
        </w:drawing>
      </w:r>
    </w:p>
    <w:p w14:paraId="21352FE1"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w:t>
      </w:r>
      <w:r>
        <w:rPr>
          <w:rFonts w:ascii="Times New Roman" w:eastAsia="宋体" w:hAnsi="Times New Roman" w:cs="Times New Roman" w:hint="eastAsia"/>
          <w:b/>
          <w:bCs/>
          <w:color w:val="000000" w:themeColor="text1"/>
          <w:sz w:val="24"/>
          <w:szCs w:val="24"/>
          <w:shd w:val="clear" w:color="auto" w:fill="FFFFFF"/>
        </w:rPr>
        <w:t>3.</w:t>
      </w:r>
      <w:r>
        <w:rPr>
          <w:rFonts w:ascii="Times New Roman" w:eastAsia="宋体" w:hAnsi="Times New Roman" w:cs="Times New Roman"/>
          <w:b/>
          <w:bCs/>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ATAC-Seq and RNA-Seq comparative analysis of queen and worker larvae. (</w:t>
      </w:r>
      <w:r>
        <w:rPr>
          <w:rFonts w:ascii="Times New Roman" w:eastAsia="宋体" w:hAnsi="Times New Roman" w:cs="Times New Roman"/>
          <w:b/>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The proportion of accessible chromatin in different regions of the genome. (</w:t>
      </w:r>
      <w:r>
        <w:rPr>
          <w:rFonts w:ascii="Times New Roman" w:eastAsia="宋体" w:hAnsi="Times New Roman" w:cs="Times New Roman"/>
          <w:b/>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 The proportion of different peaks between queen and worker bees in each genome region. (</w:t>
      </w:r>
      <w:r>
        <w:rPr>
          <w:rFonts w:ascii="Times New Roman" w:eastAsia="宋体" w:hAnsi="Times New Roman" w:cs="Times New Roman"/>
          <w:b/>
          <w:color w:val="000000" w:themeColor="text1"/>
          <w:sz w:val="24"/>
          <w:szCs w:val="24"/>
          <w:shd w:val="clear" w:color="auto" w:fill="FFFFFF"/>
        </w:rPr>
        <w:t>C-D</w:t>
      </w:r>
      <w:r>
        <w:rPr>
          <w:rFonts w:ascii="Times New Roman" w:eastAsia="宋体" w:hAnsi="Times New Roman" w:cs="Times New Roman"/>
          <w:color w:val="000000" w:themeColor="text1"/>
          <w:sz w:val="24"/>
          <w:szCs w:val="24"/>
          <w:shd w:val="clear" w:color="auto" w:fill="FFFFFF"/>
        </w:rPr>
        <w:t xml:space="preserve">) Venn diagrams of differentially expressed genes associated with differences in accessible chromatin peaks. p values of the overlap between the two datasets were calculated by performing fisher's exact test with the total number of </w:t>
      </w:r>
      <w:r>
        <w:rPr>
          <w:rFonts w:ascii="Times New Roman" w:eastAsia="宋体" w:hAnsi="Times New Roman" w:cs="Times New Roman"/>
          <w:i/>
          <w:iCs/>
          <w:color w:val="000000" w:themeColor="text1"/>
          <w:sz w:val="24"/>
          <w:szCs w:val="24"/>
          <w:shd w:val="clear" w:color="auto" w:fill="FFFFFF"/>
        </w:rPr>
        <w:t>Apis mellifera</w:t>
      </w:r>
      <w:r>
        <w:rPr>
          <w:rFonts w:ascii="Times New Roman" w:eastAsia="宋体" w:hAnsi="Times New Roman" w:cs="Times New Roman"/>
          <w:color w:val="000000" w:themeColor="text1"/>
          <w:sz w:val="24"/>
          <w:szCs w:val="24"/>
          <w:shd w:val="clear" w:color="auto" w:fill="FFFFFF"/>
        </w:rPr>
        <w:t xml:space="preserve"> genes we've detected (10366) as the reference. (</w:t>
      </w:r>
      <w:r>
        <w:rPr>
          <w:rFonts w:ascii="Times New Roman" w:eastAsia="宋体" w:hAnsi="Times New Roman" w:cs="Times New Roman"/>
          <w:b/>
          <w:color w:val="000000" w:themeColor="text1"/>
          <w:sz w:val="24"/>
          <w:szCs w:val="24"/>
          <w:shd w:val="clear" w:color="auto" w:fill="FFFFFF"/>
        </w:rPr>
        <w:t>E-F</w:t>
      </w:r>
      <w:r>
        <w:rPr>
          <w:rFonts w:ascii="Times New Roman" w:eastAsia="宋体" w:hAnsi="Times New Roman" w:cs="Times New Roman"/>
          <w:color w:val="000000" w:themeColor="text1"/>
          <w:sz w:val="24"/>
          <w:szCs w:val="24"/>
          <w:shd w:val="clear" w:color="auto" w:fill="FFFFFF"/>
        </w:rPr>
        <w:t>) Differential gene-related ATAC-seq signal accumulative distribution diagram. (</w:t>
      </w:r>
      <w:r>
        <w:rPr>
          <w:rFonts w:ascii="Times New Roman" w:eastAsia="宋体" w:hAnsi="Times New Roman" w:cs="Times New Roman"/>
          <w:b/>
          <w:color w:val="000000" w:themeColor="text1"/>
          <w:sz w:val="24"/>
          <w:szCs w:val="24"/>
          <w:shd w:val="clear" w:color="auto" w:fill="FFFFFF"/>
        </w:rPr>
        <w:t>G-H</w:t>
      </w:r>
      <w:r>
        <w:rPr>
          <w:rFonts w:ascii="Times New Roman" w:eastAsia="宋体" w:hAnsi="Times New Roman" w:cs="Times New Roman"/>
          <w:color w:val="000000" w:themeColor="text1"/>
          <w:sz w:val="24"/>
          <w:szCs w:val="24"/>
          <w:shd w:val="clear" w:color="auto" w:fill="FFFFFF"/>
        </w:rPr>
        <w:t xml:space="preserve">) </w:t>
      </w:r>
      <w:bookmarkStart w:id="0" w:name="_Hlk84510076"/>
      <w:r>
        <w:rPr>
          <w:rFonts w:ascii="Times New Roman" w:eastAsia="宋体" w:hAnsi="Times New Roman" w:cs="Times New Roman"/>
          <w:color w:val="000000" w:themeColor="text1"/>
          <w:sz w:val="24"/>
          <w:szCs w:val="24"/>
          <w:shd w:val="clear" w:color="auto" w:fill="FFFFFF"/>
        </w:rPr>
        <w:t>KEGG pathway of ATAC-seq and RNA-seq common differential genes in queen and worker. Bold red indicates that this pathway is associated with caste differentiation, and the bottom KEGG pathway is the top 10 significant pathway</w:t>
      </w:r>
      <w:bookmarkEnd w:id="0"/>
      <w:r>
        <w:rPr>
          <w:rFonts w:ascii="Times New Roman" w:eastAsia="宋体" w:hAnsi="Times New Roman" w:cs="Times New Roman"/>
          <w:color w:val="000000" w:themeColor="text1"/>
          <w:sz w:val="24"/>
          <w:szCs w:val="24"/>
          <w:shd w:val="clear" w:color="auto" w:fill="FFFFFF"/>
        </w:rPr>
        <w:t>.</w:t>
      </w:r>
    </w:p>
    <w:p w14:paraId="107A85C9" w14:textId="77777777" w:rsidR="00F24122" w:rsidRDefault="00000000">
      <w:pPr>
        <w:widowControl/>
        <w:adjustRightInd w:val="0"/>
        <w:snapToGrid w:val="0"/>
        <w:spacing w:line="480" w:lineRule="auto"/>
        <w:outlineLvl w:val="0"/>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64CC46D3" wp14:editId="0BC5F7F4">
            <wp:extent cx="5260975" cy="6577965"/>
            <wp:effectExtent l="0" t="0" r="0" b="0"/>
            <wp:docPr id="2" name="图片 2" descr="C:\Users\永\AppData\Local\Microsoft\Windows\INetCache\Content.Word\Fig.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永\AppData\Local\Microsoft\Windows\INetCache\Content.Word\Fig.S4.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60975" cy="6577965"/>
                    </a:xfrm>
                    <a:prstGeom prst="rect">
                      <a:avLst/>
                    </a:prstGeom>
                    <a:noFill/>
                    <a:ln>
                      <a:noFill/>
                    </a:ln>
                  </pic:spPr>
                </pic:pic>
              </a:graphicData>
            </a:graphic>
          </wp:inline>
        </w:drawing>
      </w:r>
    </w:p>
    <w:p w14:paraId="476B2897" w14:textId="4133A34E"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w:t>
      </w:r>
      <w:r>
        <w:rPr>
          <w:rFonts w:ascii="Times New Roman" w:eastAsia="宋体" w:hAnsi="Times New Roman" w:cs="Times New Roman" w:hint="eastAsia"/>
          <w:b/>
          <w:bCs/>
          <w:color w:val="000000" w:themeColor="text1"/>
          <w:sz w:val="24"/>
          <w:szCs w:val="24"/>
          <w:shd w:val="clear" w:color="auto" w:fill="FFFFFF"/>
        </w:rPr>
        <w:t>4.</w:t>
      </w:r>
      <w:r>
        <w:rPr>
          <w:rFonts w:ascii="Times New Roman" w:eastAsia="宋体" w:hAnsi="Times New Roman" w:cs="Times New Roman"/>
          <w:color w:val="000000" w:themeColor="text1"/>
          <w:sz w:val="24"/>
          <w:szCs w:val="24"/>
          <w:shd w:val="clear" w:color="auto" w:fill="FFFFFF"/>
        </w:rPr>
        <w:t xml:space="preserve"> ChIP-Seq and RNA-Seq comparisons of queen and worker larvae. (</w:t>
      </w:r>
      <w:r>
        <w:rPr>
          <w:rFonts w:ascii="Times New Roman" w:eastAsia="宋体" w:hAnsi="Times New Roman" w:cs="Times New Roman"/>
          <w:b/>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The proportion of accessible chromatin in different regions of the genome. (</w:t>
      </w:r>
      <w:r>
        <w:rPr>
          <w:rFonts w:ascii="Times New Roman" w:eastAsia="宋体" w:hAnsi="Times New Roman" w:cs="Times New Roman"/>
          <w:b/>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 The proportion of different peaks between queen and worker bees in each genome region. (</w:t>
      </w:r>
      <w:r>
        <w:rPr>
          <w:rFonts w:ascii="Times New Roman" w:eastAsia="宋体" w:hAnsi="Times New Roman" w:cs="Times New Roman"/>
          <w:b/>
          <w:color w:val="000000" w:themeColor="text1"/>
          <w:sz w:val="24"/>
          <w:szCs w:val="24"/>
          <w:shd w:val="clear" w:color="auto" w:fill="FFFFFF"/>
        </w:rPr>
        <w:t>C-D</w:t>
      </w:r>
      <w:r>
        <w:rPr>
          <w:rFonts w:ascii="Times New Roman" w:eastAsia="宋体" w:hAnsi="Times New Roman" w:cs="Times New Roman"/>
          <w:color w:val="000000" w:themeColor="text1"/>
          <w:sz w:val="24"/>
          <w:szCs w:val="24"/>
          <w:shd w:val="clear" w:color="auto" w:fill="FFFFFF"/>
        </w:rPr>
        <w:t xml:space="preserve">) Venn diagrams of differentially expressed genes associated with differences in peaks. p values of the overlap between the two datasets were calculated by performing </w:t>
      </w:r>
      <w:r>
        <w:rPr>
          <w:rFonts w:ascii="Times New Roman" w:eastAsia="宋体" w:hAnsi="Times New Roman" w:cs="Times New Roman"/>
          <w:color w:val="000000" w:themeColor="text1"/>
          <w:sz w:val="24"/>
          <w:szCs w:val="24"/>
          <w:shd w:val="clear" w:color="auto" w:fill="FFFFFF"/>
        </w:rPr>
        <w:lastRenderedPageBreak/>
        <w:t xml:space="preserve">fisher's exact test with the total number of </w:t>
      </w:r>
      <w:r>
        <w:rPr>
          <w:rFonts w:ascii="Times New Roman" w:eastAsia="宋体" w:hAnsi="Times New Roman" w:cs="Times New Roman"/>
          <w:i/>
          <w:iCs/>
          <w:color w:val="000000" w:themeColor="text1"/>
          <w:sz w:val="24"/>
          <w:szCs w:val="24"/>
          <w:shd w:val="clear" w:color="auto" w:fill="FFFFFF"/>
        </w:rPr>
        <w:t>Apis mellifera</w:t>
      </w:r>
      <w:r>
        <w:rPr>
          <w:rFonts w:ascii="Times New Roman" w:eastAsia="宋体" w:hAnsi="Times New Roman" w:cs="Times New Roman"/>
          <w:color w:val="000000" w:themeColor="text1"/>
          <w:sz w:val="24"/>
          <w:szCs w:val="24"/>
          <w:shd w:val="clear" w:color="auto" w:fill="FFFFFF"/>
        </w:rPr>
        <w:t xml:space="preserve"> genes we've detected (10366) as the reference. (</w:t>
      </w:r>
      <w:r>
        <w:rPr>
          <w:rFonts w:ascii="Times New Roman" w:eastAsia="宋体" w:hAnsi="Times New Roman" w:cs="Times New Roman"/>
          <w:b/>
          <w:color w:val="000000" w:themeColor="text1"/>
          <w:sz w:val="24"/>
          <w:szCs w:val="24"/>
          <w:shd w:val="clear" w:color="auto" w:fill="FFFFFF"/>
        </w:rPr>
        <w:t>E-F</w:t>
      </w:r>
      <w:r>
        <w:rPr>
          <w:rFonts w:ascii="Times New Roman" w:eastAsia="宋体" w:hAnsi="Times New Roman" w:cs="Times New Roman"/>
          <w:color w:val="000000" w:themeColor="text1"/>
          <w:sz w:val="24"/>
          <w:szCs w:val="24"/>
          <w:shd w:val="clear" w:color="auto" w:fill="FFFFFF"/>
        </w:rPr>
        <w:t>) Differential gene-related ChIP-seq signal accumulative distribution diagram. (</w:t>
      </w:r>
      <w:r>
        <w:rPr>
          <w:rFonts w:ascii="Times New Roman" w:eastAsia="宋体" w:hAnsi="Times New Roman" w:cs="Times New Roman"/>
          <w:b/>
          <w:color w:val="000000" w:themeColor="text1"/>
          <w:sz w:val="24"/>
          <w:szCs w:val="24"/>
          <w:shd w:val="clear" w:color="auto" w:fill="FFFFFF"/>
        </w:rPr>
        <w:t>G-H</w:t>
      </w:r>
      <w:r>
        <w:rPr>
          <w:rFonts w:ascii="Times New Roman" w:eastAsia="宋体" w:hAnsi="Times New Roman" w:cs="Times New Roman"/>
          <w:color w:val="000000" w:themeColor="text1"/>
          <w:sz w:val="24"/>
          <w:szCs w:val="24"/>
          <w:shd w:val="clear" w:color="auto" w:fill="FFFFFF"/>
        </w:rPr>
        <w:t xml:space="preserve">) KEGG pathways of </w:t>
      </w:r>
      <w:r w:rsidR="007A360E">
        <w:rPr>
          <w:rFonts w:ascii="Times New Roman" w:eastAsia="宋体" w:hAnsi="Times New Roman" w:cs="Times New Roman"/>
          <w:color w:val="000000" w:themeColor="text1"/>
          <w:sz w:val="24"/>
          <w:szCs w:val="24"/>
          <w:shd w:val="clear" w:color="auto" w:fill="FFFFFF"/>
        </w:rPr>
        <w:t>ChIP</w:t>
      </w:r>
      <w:r>
        <w:rPr>
          <w:rFonts w:ascii="Times New Roman" w:eastAsia="宋体" w:hAnsi="Times New Roman" w:cs="Times New Roman"/>
          <w:color w:val="000000" w:themeColor="text1"/>
          <w:sz w:val="24"/>
          <w:szCs w:val="24"/>
          <w:shd w:val="clear" w:color="auto" w:fill="FFFFFF"/>
        </w:rPr>
        <w:t>-seq and RNA-seq common differentially regulated genes in queen and worker. Bold red indicates that this pathway is associated with caste differentiation, and the bottom KEGG pathway is the top 10 significant pathway.</w:t>
      </w:r>
    </w:p>
    <w:p w14:paraId="75010803" w14:textId="77777777" w:rsidR="00F24122" w:rsidRDefault="00000000">
      <w:pPr>
        <w:widowControl/>
        <w:adjustRightInd w:val="0"/>
        <w:snapToGrid w:val="0"/>
        <w:spacing w:line="480" w:lineRule="auto"/>
        <w:outlineLvl w:val="0"/>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44C60350" wp14:editId="7B79EC53">
            <wp:extent cx="5267960" cy="4797425"/>
            <wp:effectExtent l="0" t="0" r="8890" b="3175"/>
            <wp:docPr id="1" name="图片 1" descr="C:\Users\永\AppData\Local\Microsoft\Windows\INetCache\Content.Word\Fig.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永\AppData\Local\Microsoft\Windows\INetCache\Content.Word\Fig.S5.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960" cy="4797425"/>
                    </a:xfrm>
                    <a:prstGeom prst="rect">
                      <a:avLst/>
                    </a:prstGeom>
                    <a:noFill/>
                    <a:ln>
                      <a:noFill/>
                    </a:ln>
                  </pic:spPr>
                </pic:pic>
              </a:graphicData>
            </a:graphic>
          </wp:inline>
        </w:drawing>
      </w:r>
    </w:p>
    <w:p w14:paraId="439D4F27"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w:t>
      </w:r>
      <w:r>
        <w:rPr>
          <w:rFonts w:ascii="Times New Roman" w:eastAsia="宋体" w:hAnsi="Times New Roman" w:cs="Times New Roman" w:hint="eastAsia"/>
          <w:b/>
          <w:bCs/>
          <w:color w:val="000000" w:themeColor="text1"/>
          <w:sz w:val="24"/>
          <w:szCs w:val="24"/>
          <w:shd w:val="clear" w:color="auto" w:fill="FFFFFF"/>
        </w:rPr>
        <w:t>5.</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b/>
          <w:color w:val="000000" w:themeColor="text1"/>
          <w:sz w:val="24"/>
          <w:szCs w:val="24"/>
          <w:shd w:val="clear" w:color="auto" w:fill="FFFFFF"/>
        </w:rPr>
        <w:t>A-B</w:t>
      </w:r>
      <w:r>
        <w:rPr>
          <w:rFonts w:ascii="Times New Roman" w:eastAsia="宋体" w:hAnsi="Times New Roman" w:cs="Times New Roman"/>
          <w:color w:val="000000" w:themeColor="text1"/>
          <w:sz w:val="24"/>
          <w:szCs w:val="24"/>
          <w:shd w:val="clear" w:color="auto" w:fill="FFFFFF"/>
        </w:rPr>
        <w:t>) Box plot comparing TE expression fold changes between TE in switch regions (A-B and B-A) in 2Q vs 2W and 4Q vs 4W. (</w:t>
      </w:r>
      <w:r>
        <w:rPr>
          <w:rFonts w:ascii="Times New Roman" w:eastAsia="宋体" w:hAnsi="Times New Roman" w:cs="Times New Roman"/>
          <w:b/>
          <w:color w:val="000000" w:themeColor="text1"/>
          <w:sz w:val="24"/>
          <w:szCs w:val="24"/>
          <w:shd w:val="clear" w:color="auto" w:fill="FFFFFF"/>
        </w:rPr>
        <w:t>C-D</w:t>
      </w:r>
      <w:r>
        <w:rPr>
          <w:rFonts w:ascii="Times New Roman" w:eastAsia="宋体" w:hAnsi="Times New Roman" w:cs="Times New Roman"/>
          <w:color w:val="000000" w:themeColor="text1"/>
          <w:sz w:val="24"/>
          <w:szCs w:val="24"/>
          <w:shd w:val="clear" w:color="auto" w:fill="FFFFFF"/>
        </w:rPr>
        <w:t>) Box plot comparing ChIP signal fold changes between switch regions (A-B and B-A) in 2Q vs 2W and 4Q vs 4W</w:t>
      </w:r>
      <w:r>
        <w:rPr>
          <w:rFonts w:ascii="Times New Roman" w:eastAsia="宋体" w:hAnsi="Times New Roman" w:cs="Times New Roman" w:hint="eastAsia"/>
          <w:color w:val="000000" w:themeColor="text1"/>
          <w:sz w:val="24"/>
          <w:szCs w:val="24"/>
          <w:shd w:val="clear" w:color="auto" w:fill="FFFFFF"/>
        </w:rPr>
        <w:t xml:space="preserve"> comparisons</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hint="eastAsia"/>
          <w:color w:val="000000" w:themeColor="text1"/>
          <w:sz w:val="24"/>
          <w:szCs w:val="24"/>
          <w:shd w:val="clear" w:color="auto" w:fill="FFFFFF"/>
        </w:rPr>
        <w:t xml:space="preserve"> </w:t>
      </w:r>
    </w:p>
    <w:p w14:paraId="04F272F3" w14:textId="77777777" w:rsidR="00F24122" w:rsidRDefault="00F24122"/>
    <w:p w14:paraId="64307758" w14:textId="77777777" w:rsidR="00F24122" w:rsidRDefault="00000000">
      <w:r>
        <w:rPr>
          <w:noProof/>
        </w:rPr>
        <w:drawing>
          <wp:inline distT="0" distB="0" distL="0" distR="0" wp14:anchorId="0F6C2B4F" wp14:editId="43C6329E">
            <wp:extent cx="5274310" cy="2476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476500"/>
                    </a:xfrm>
                    <a:prstGeom prst="rect">
                      <a:avLst/>
                    </a:prstGeom>
                    <a:noFill/>
                    <a:ln>
                      <a:noFill/>
                    </a:ln>
                  </pic:spPr>
                </pic:pic>
              </a:graphicData>
            </a:graphic>
          </wp:inline>
        </w:drawing>
      </w:r>
    </w:p>
    <w:p w14:paraId="325F451C"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bookmarkStart w:id="1" w:name="_Hlk118410062"/>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S6.</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The</w:t>
      </w:r>
      <w:r>
        <w:rPr>
          <w:rFonts w:ascii="Times New Roman" w:eastAsia="宋体" w:hAnsi="Times New Roman" w:cs="Times New Roman"/>
          <w:color w:val="000000" w:themeColor="text1"/>
          <w:sz w:val="24"/>
          <w:szCs w:val="24"/>
          <w:shd w:val="clear" w:color="auto" w:fill="FFFFFF"/>
        </w:rPr>
        <w:t xml:space="preserve"> correlation of Hi-C, ATAC signal,</w:t>
      </w:r>
      <w:r>
        <w:rPr>
          <w:rFonts w:ascii="Times New Roman" w:eastAsia="宋体" w:hAnsi="Times New Roman" w:cs="Times New Roman" w:hint="eastAsia"/>
          <w:color w:val="000000" w:themeColor="text1"/>
          <w:sz w:val="24"/>
          <w:szCs w:val="24"/>
          <w:shd w:val="clear" w:color="auto" w:fill="FFFFFF"/>
        </w:rPr>
        <w:t xml:space="preserve"> ChIP signal</w:t>
      </w:r>
      <w:r>
        <w:rPr>
          <w:rFonts w:ascii="Times New Roman" w:eastAsia="宋体" w:hAnsi="Times New Roman" w:cs="Times New Roman"/>
          <w:color w:val="000000" w:themeColor="text1"/>
          <w:sz w:val="24"/>
          <w:szCs w:val="24"/>
          <w:shd w:val="clear" w:color="auto" w:fill="FFFFFF"/>
        </w:rPr>
        <w:t xml:space="preserve"> and RNA-seq reads </w:t>
      </w:r>
      <w:r>
        <w:rPr>
          <w:rFonts w:ascii="Times New Roman" w:eastAsia="宋体" w:hAnsi="Times New Roman" w:cs="Times New Roman" w:hint="eastAsia"/>
          <w:color w:val="000000" w:themeColor="text1"/>
          <w:sz w:val="24"/>
          <w:szCs w:val="24"/>
          <w:shd w:val="clear" w:color="auto" w:fill="FFFFFF"/>
        </w:rPr>
        <w:t xml:space="preserve">of </w:t>
      </w:r>
      <w:r>
        <w:rPr>
          <w:rFonts w:ascii="Times New Roman" w:eastAsia="宋体" w:hAnsi="Times New Roman" w:cs="Times New Roman"/>
          <w:color w:val="000000" w:themeColor="text1"/>
          <w:sz w:val="24"/>
          <w:szCs w:val="24"/>
          <w:shd w:val="clear" w:color="auto" w:fill="FFFFFF"/>
        </w:rPr>
        <w:t>in 2</w:t>
      </w:r>
      <w:r>
        <w:rPr>
          <w:rFonts w:ascii="Times New Roman" w:eastAsia="宋体" w:hAnsi="Times New Roman" w:cs="Times New Roman" w:hint="eastAsia"/>
          <w:color w:val="000000" w:themeColor="text1"/>
          <w:sz w:val="24"/>
          <w:szCs w:val="24"/>
          <w:shd w:val="clear" w:color="auto" w:fill="FFFFFF"/>
        </w:rPr>
        <w:t>Q</w:t>
      </w:r>
      <w:r>
        <w:rPr>
          <w:rFonts w:ascii="Times New Roman" w:eastAsia="宋体" w:hAnsi="Times New Roman" w:cs="Times New Roman"/>
          <w:color w:val="000000" w:themeColor="text1"/>
          <w:sz w:val="24"/>
          <w:szCs w:val="24"/>
          <w:shd w:val="clear" w:color="auto" w:fill="FFFFFF"/>
        </w:rPr>
        <w:t>/2W (left)</w:t>
      </w:r>
      <w:r>
        <w:rPr>
          <w:rFonts w:ascii="Times New Roman" w:eastAsia="宋体" w:hAnsi="Times New Roman" w:cs="Times New Roman" w:hint="eastAsia"/>
          <w:color w:val="000000" w:themeColor="text1"/>
          <w:sz w:val="24"/>
          <w:szCs w:val="24"/>
          <w:shd w:val="clear" w:color="auto" w:fill="FFFFFF"/>
        </w:rPr>
        <w:t xml:space="preserve"> and </w:t>
      </w:r>
      <w:r>
        <w:rPr>
          <w:rFonts w:ascii="Times New Roman" w:eastAsia="宋体" w:hAnsi="Times New Roman" w:cs="Times New Roman"/>
          <w:color w:val="000000" w:themeColor="text1"/>
          <w:sz w:val="24"/>
          <w:szCs w:val="24"/>
          <w:shd w:val="clear" w:color="auto" w:fill="FFFFFF"/>
        </w:rPr>
        <w:t>4Q/</w:t>
      </w:r>
      <w:r>
        <w:rPr>
          <w:rFonts w:ascii="Times New Roman" w:eastAsia="宋体" w:hAnsi="Times New Roman" w:cs="Times New Roman" w:hint="eastAsia"/>
          <w:color w:val="000000" w:themeColor="text1"/>
          <w:sz w:val="24"/>
          <w:szCs w:val="24"/>
          <w:shd w:val="clear" w:color="auto" w:fill="FFFFFF"/>
        </w:rPr>
        <w:t>4W</w:t>
      </w:r>
      <w:r>
        <w:rPr>
          <w:rFonts w:ascii="Times New Roman" w:eastAsia="宋体" w:hAnsi="Times New Roman" w:cs="Times New Roman"/>
          <w:color w:val="000000" w:themeColor="text1"/>
          <w:sz w:val="24"/>
          <w:szCs w:val="24"/>
          <w:shd w:val="clear" w:color="auto" w:fill="FFFFFF"/>
        </w:rPr>
        <w:t xml:space="preserve"> (right).</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I</w:t>
      </w:r>
      <w:r>
        <w:rPr>
          <w:rFonts w:ascii="Times New Roman" w:eastAsia="宋体" w:hAnsi="Times New Roman" w:cs="Times New Roman" w:hint="eastAsia"/>
          <w:color w:val="000000" w:themeColor="text1"/>
          <w:sz w:val="24"/>
          <w:szCs w:val="24"/>
          <w:shd w:val="clear" w:color="auto" w:fill="FFFFFF"/>
        </w:rPr>
        <w:t xml:space="preserve">n Hi-C data, </w:t>
      </w:r>
      <w:r>
        <w:rPr>
          <w:rFonts w:ascii="Times New Roman" w:eastAsia="宋体" w:hAnsi="Times New Roman" w:cs="Times New Roman"/>
          <w:color w:val="000000" w:themeColor="text1"/>
          <w:sz w:val="24"/>
          <w:szCs w:val="24"/>
          <w:shd w:val="clear" w:color="auto" w:fill="FFFFFF"/>
        </w:rPr>
        <w:t xml:space="preserve">red </w:t>
      </w:r>
      <w:r>
        <w:rPr>
          <w:rFonts w:ascii="Times New Roman" w:eastAsia="宋体" w:hAnsi="Times New Roman" w:cs="Times New Roman" w:hint="eastAsia"/>
          <w:color w:val="000000" w:themeColor="text1"/>
          <w:sz w:val="24"/>
          <w:szCs w:val="24"/>
          <w:shd w:val="clear" w:color="auto" w:fill="FFFFFF"/>
        </w:rPr>
        <w:t>bars represent</w:t>
      </w:r>
      <w:r>
        <w:rPr>
          <w:rFonts w:ascii="Times New Roman" w:eastAsia="宋体" w:hAnsi="Times New Roman" w:cs="Times New Roman"/>
          <w:color w:val="000000" w:themeColor="text1"/>
          <w:sz w:val="24"/>
          <w:szCs w:val="24"/>
          <w:shd w:val="clear" w:color="auto" w:fill="FFFFFF"/>
        </w:rPr>
        <w:t xml:space="preserve"> A compartment</w:t>
      </w:r>
      <w:r>
        <w:rPr>
          <w:rFonts w:ascii="Times New Roman" w:eastAsia="宋体" w:hAnsi="Times New Roman" w:cs="Times New Roman" w:hint="eastAsia"/>
          <w:color w:val="000000" w:themeColor="text1"/>
          <w:sz w:val="24"/>
          <w:szCs w:val="24"/>
          <w:shd w:val="clear" w:color="auto" w:fill="FFFFFF"/>
        </w:rPr>
        <w:t xml:space="preserve">s, whereas </w:t>
      </w:r>
      <w:r>
        <w:rPr>
          <w:rFonts w:ascii="Times New Roman" w:eastAsia="宋体" w:hAnsi="Times New Roman" w:cs="Times New Roman"/>
          <w:color w:val="000000" w:themeColor="text1"/>
          <w:sz w:val="24"/>
          <w:szCs w:val="24"/>
          <w:shd w:val="clear" w:color="auto" w:fill="FFFFFF"/>
        </w:rPr>
        <w:t xml:space="preserve">blue </w:t>
      </w:r>
      <w:r>
        <w:rPr>
          <w:rFonts w:ascii="Times New Roman" w:eastAsia="宋体" w:hAnsi="Times New Roman" w:cs="Times New Roman" w:hint="eastAsia"/>
          <w:color w:val="000000" w:themeColor="text1"/>
          <w:sz w:val="24"/>
          <w:szCs w:val="24"/>
          <w:shd w:val="clear" w:color="auto" w:fill="FFFFFF"/>
        </w:rPr>
        <w:t>ones represent</w:t>
      </w:r>
      <w:r>
        <w:rPr>
          <w:rFonts w:ascii="Times New Roman" w:eastAsia="宋体" w:hAnsi="Times New Roman" w:cs="Times New Roman"/>
          <w:color w:val="000000" w:themeColor="text1"/>
          <w:sz w:val="24"/>
          <w:szCs w:val="24"/>
          <w:shd w:val="clear" w:color="auto" w:fill="FFFFFF"/>
        </w:rPr>
        <w:t xml:space="preserve"> B compartment</w:t>
      </w:r>
      <w:r>
        <w:rPr>
          <w:rFonts w:ascii="Times New Roman" w:eastAsia="宋体" w:hAnsi="Times New Roman" w:cs="Times New Roman" w:hint="eastAsia"/>
          <w:color w:val="000000" w:themeColor="text1"/>
          <w:sz w:val="24"/>
          <w:szCs w:val="24"/>
          <w:shd w:val="clear" w:color="auto" w:fill="FFFFFF"/>
        </w:rPr>
        <w:t>s</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 xml:space="preserve">The red waves are read coverage of queens in ATAC signal, ChIP signal and RNA-seq, while the blue ones are that of workers. Data in </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hint="eastAsia"/>
          <w:color w:val="000000" w:themeColor="text1"/>
          <w:sz w:val="24"/>
          <w:szCs w:val="24"/>
          <w:shd w:val="clear" w:color="auto" w:fill="FFFFFF"/>
        </w:rPr>
        <w:t>[]</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hint="eastAsia"/>
          <w:color w:val="000000" w:themeColor="text1"/>
          <w:sz w:val="24"/>
          <w:szCs w:val="24"/>
          <w:shd w:val="clear" w:color="auto" w:fill="FFFFFF"/>
        </w:rPr>
        <w:t xml:space="preserve"> are the scales of read counts. </w:t>
      </w:r>
      <w:r>
        <w:rPr>
          <w:rFonts w:ascii="Times New Roman" w:eastAsia="宋体" w:hAnsi="Times New Roman" w:cs="Times New Roman"/>
          <w:color w:val="000000" w:themeColor="text1"/>
          <w:sz w:val="24"/>
          <w:szCs w:val="24"/>
          <w:shd w:val="clear" w:color="auto" w:fill="FFFFFF"/>
        </w:rPr>
        <w:t>“*” indicates that there is a difference between</w:t>
      </w:r>
      <w:r>
        <w:rPr>
          <w:rFonts w:ascii="Times New Roman" w:eastAsia="宋体" w:hAnsi="Times New Roman" w:cs="Times New Roman" w:hint="eastAsia"/>
          <w:color w:val="000000" w:themeColor="text1"/>
          <w:sz w:val="24"/>
          <w:szCs w:val="24"/>
          <w:shd w:val="clear" w:color="auto" w:fill="FFFFFF"/>
        </w:rPr>
        <w:t xml:space="preserve"> two group</w:t>
      </w:r>
      <w:r>
        <w:rPr>
          <w:rFonts w:ascii="Times New Roman" w:eastAsia="宋体" w:hAnsi="Times New Roman" w:cs="Times New Roman"/>
          <w:color w:val="000000" w:themeColor="text1"/>
          <w:sz w:val="24"/>
          <w:szCs w:val="24"/>
          <w:shd w:val="clear" w:color="auto" w:fill="FFFFFF"/>
        </w:rPr>
        <w:t>s</w:t>
      </w:r>
      <w:r>
        <w:rPr>
          <w:rFonts w:ascii="Times New Roman" w:eastAsia="宋体" w:hAnsi="Times New Roman" w:cs="Times New Roman" w:hint="eastAsia"/>
          <w:color w:val="000000" w:themeColor="text1"/>
          <w:sz w:val="24"/>
          <w:szCs w:val="24"/>
          <w:shd w:val="clear" w:color="auto" w:fill="FFFFFF"/>
        </w:rPr>
        <w:t>.</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b/>
          <w:bCs/>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xml:space="preserve">) the </w:t>
      </w:r>
      <w:r>
        <w:rPr>
          <w:rFonts w:ascii="Times New Roman" w:eastAsia="宋体" w:hAnsi="Times New Roman" w:cs="Times New Roman"/>
          <w:i/>
          <w:iCs/>
          <w:color w:val="000000" w:themeColor="text1"/>
          <w:sz w:val="24"/>
          <w:szCs w:val="24"/>
          <w:shd w:val="clear" w:color="auto" w:fill="FFFFFF"/>
        </w:rPr>
        <w:t>Vg</w:t>
      </w:r>
      <w:r>
        <w:rPr>
          <w:rFonts w:ascii="Times New Roman" w:eastAsia="宋体" w:hAnsi="Times New Roman" w:cs="Times New Roman" w:hint="eastAsia"/>
          <w:color w:val="000000" w:themeColor="text1"/>
          <w:sz w:val="24"/>
          <w:szCs w:val="24"/>
          <w:shd w:val="clear" w:color="auto" w:fill="FFFFFF"/>
        </w:rPr>
        <w:t xml:space="preserve"> gene</w:t>
      </w:r>
      <w:r>
        <w:rPr>
          <w:rFonts w:ascii="Times New Roman" w:eastAsia="宋体" w:hAnsi="Times New Roman" w:cs="Times New Roman"/>
          <w:color w:val="000000" w:themeColor="text1"/>
          <w:sz w:val="24"/>
          <w:szCs w:val="24"/>
          <w:shd w:val="clear" w:color="auto" w:fill="FFFFFF"/>
        </w:rPr>
        <w:t>, (</w:t>
      </w:r>
      <w:r>
        <w:rPr>
          <w:rFonts w:ascii="Times New Roman" w:eastAsia="宋体" w:hAnsi="Times New Roman" w:cs="Times New Roman"/>
          <w:b/>
          <w:bCs/>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the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i/>
          <w:iCs/>
          <w:color w:val="000000" w:themeColor="text1"/>
          <w:sz w:val="24"/>
          <w:szCs w:val="24"/>
          <w:shd w:val="clear" w:color="auto" w:fill="FFFFFF"/>
        </w:rPr>
        <w:t>Hex70a</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g</w:t>
      </w:r>
      <w:r>
        <w:rPr>
          <w:rFonts w:ascii="Times New Roman" w:eastAsia="宋体" w:hAnsi="Times New Roman" w:cs="Times New Roman"/>
          <w:color w:val="000000" w:themeColor="text1"/>
          <w:sz w:val="24"/>
          <w:szCs w:val="24"/>
          <w:shd w:val="clear" w:color="auto" w:fill="FFFFFF"/>
        </w:rPr>
        <w:t>ene, (</w:t>
      </w:r>
      <w:r>
        <w:rPr>
          <w:rFonts w:ascii="Times New Roman" w:eastAsia="宋体" w:hAnsi="Times New Roman" w:cs="Times New Roman"/>
          <w:b/>
          <w:bCs/>
          <w:color w:val="000000" w:themeColor="text1"/>
          <w:sz w:val="24"/>
          <w:szCs w:val="24"/>
          <w:shd w:val="clear" w:color="auto" w:fill="FFFFFF"/>
        </w:rPr>
        <w:t>C</w:t>
      </w:r>
      <w:r>
        <w:rPr>
          <w:rFonts w:ascii="Times New Roman" w:eastAsia="宋体" w:hAnsi="Times New Roman" w:cs="Times New Roman"/>
          <w:color w:val="000000" w:themeColor="text1"/>
          <w:sz w:val="24"/>
          <w:szCs w:val="24"/>
          <w:shd w:val="clear" w:color="auto" w:fill="FFFFFF"/>
        </w:rPr>
        <w:t>) the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i/>
          <w:iCs/>
          <w:color w:val="000000" w:themeColor="text1"/>
          <w:sz w:val="24"/>
          <w:szCs w:val="24"/>
          <w:shd w:val="clear" w:color="auto" w:fill="FFFFFF"/>
        </w:rPr>
        <w:t>L(2)EFL</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g</w:t>
      </w:r>
      <w:r>
        <w:rPr>
          <w:rFonts w:ascii="Times New Roman" w:eastAsia="宋体" w:hAnsi="Times New Roman" w:cs="Times New Roman"/>
          <w:color w:val="000000" w:themeColor="text1"/>
          <w:sz w:val="24"/>
          <w:szCs w:val="24"/>
          <w:shd w:val="clear" w:color="auto" w:fill="FFFFFF"/>
        </w:rPr>
        <w:t>ene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b/>
          <w:bCs/>
          <w:color w:val="000000" w:themeColor="text1"/>
          <w:sz w:val="24"/>
          <w:szCs w:val="24"/>
          <w:shd w:val="clear" w:color="auto" w:fill="FFFFFF"/>
        </w:rPr>
        <w:t>D</w:t>
      </w:r>
      <w:r>
        <w:rPr>
          <w:rFonts w:ascii="Times New Roman" w:eastAsia="宋体" w:hAnsi="Times New Roman" w:cs="Times New Roman"/>
          <w:color w:val="000000" w:themeColor="text1"/>
          <w:sz w:val="24"/>
          <w:szCs w:val="24"/>
          <w:shd w:val="clear" w:color="auto" w:fill="FFFFFF"/>
        </w:rPr>
        <w:t>) the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hint="eastAsia"/>
          <w:i/>
          <w:iCs/>
          <w:color w:val="000000" w:themeColor="text1"/>
          <w:sz w:val="24"/>
          <w:szCs w:val="24"/>
          <w:shd w:val="clear" w:color="auto" w:fill="FFFFFF"/>
        </w:rPr>
        <w:t>CY</w:t>
      </w:r>
      <w:r>
        <w:rPr>
          <w:rFonts w:ascii="Times New Roman" w:eastAsia="宋体" w:hAnsi="Times New Roman" w:cs="Times New Roman"/>
          <w:i/>
          <w:iCs/>
          <w:color w:val="000000" w:themeColor="text1"/>
          <w:sz w:val="24"/>
          <w:szCs w:val="24"/>
          <w:shd w:val="clear" w:color="auto" w:fill="FFFFFF"/>
        </w:rPr>
        <w:t>P450-6a13</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g</w:t>
      </w:r>
      <w:r>
        <w:rPr>
          <w:rFonts w:ascii="Times New Roman" w:eastAsia="宋体" w:hAnsi="Times New Roman" w:cs="Times New Roman"/>
          <w:color w:val="000000" w:themeColor="text1"/>
          <w:sz w:val="24"/>
          <w:szCs w:val="24"/>
          <w:shd w:val="clear" w:color="auto" w:fill="FFFFFF"/>
        </w:rPr>
        <w:t>ene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b/>
          <w:bCs/>
          <w:color w:val="000000" w:themeColor="text1"/>
          <w:sz w:val="24"/>
          <w:szCs w:val="24"/>
          <w:shd w:val="clear" w:color="auto" w:fill="FFFFFF"/>
        </w:rPr>
        <w:t>E</w:t>
      </w:r>
      <w:r>
        <w:rPr>
          <w:rFonts w:ascii="Times New Roman" w:eastAsia="宋体" w:hAnsi="Times New Roman" w:cs="Times New Roman"/>
          <w:color w:val="000000" w:themeColor="text1"/>
          <w:sz w:val="24"/>
          <w:szCs w:val="24"/>
          <w:shd w:val="clear" w:color="auto" w:fill="FFFFFF"/>
        </w:rPr>
        <w:t>) the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i/>
          <w:iCs/>
          <w:color w:val="000000" w:themeColor="text1"/>
          <w:sz w:val="24"/>
          <w:szCs w:val="24"/>
          <w:shd w:val="clear" w:color="auto" w:fill="FFFFFF"/>
        </w:rPr>
        <w:t>JHAMT</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g</w:t>
      </w:r>
      <w:r>
        <w:rPr>
          <w:rFonts w:ascii="Times New Roman" w:eastAsia="宋体" w:hAnsi="Times New Roman" w:cs="Times New Roman"/>
          <w:color w:val="000000" w:themeColor="text1"/>
          <w:sz w:val="24"/>
          <w:szCs w:val="24"/>
          <w:shd w:val="clear" w:color="auto" w:fill="FFFFFF"/>
        </w:rPr>
        <w:t>ene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color w:val="000000" w:themeColor="text1"/>
          <w:sz w:val="24"/>
          <w:szCs w:val="24"/>
          <w:shd w:val="clear" w:color="auto" w:fill="FFFFFF"/>
        </w:rPr>
        <w:t>(</w:t>
      </w:r>
      <w:r>
        <w:rPr>
          <w:rFonts w:ascii="Times New Roman" w:eastAsia="宋体" w:hAnsi="Times New Roman" w:cs="Times New Roman"/>
          <w:b/>
          <w:bCs/>
          <w:color w:val="000000" w:themeColor="text1"/>
          <w:sz w:val="24"/>
          <w:szCs w:val="24"/>
          <w:shd w:val="clear" w:color="auto" w:fill="FFFFFF"/>
        </w:rPr>
        <w:t>F</w:t>
      </w:r>
      <w:r>
        <w:rPr>
          <w:rFonts w:ascii="Times New Roman" w:eastAsia="宋体" w:hAnsi="Times New Roman" w:cs="Times New Roman"/>
          <w:color w:val="000000" w:themeColor="text1"/>
          <w:sz w:val="24"/>
          <w:szCs w:val="24"/>
          <w:shd w:val="clear" w:color="auto" w:fill="FFFFFF"/>
        </w:rPr>
        <w:t>) the</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i/>
          <w:iCs/>
          <w:color w:val="000000" w:themeColor="text1"/>
          <w:sz w:val="24"/>
          <w:szCs w:val="24"/>
          <w:shd w:val="clear" w:color="auto" w:fill="FFFFFF"/>
        </w:rPr>
        <w:t>HSP90</w:t>
      </w:r>
      <w:r>
        <w:rPr>
          <w:rFonts w:ascii="Times New Roman" w:eastAsia="宋体" w:hAnsi="Times New Roman" w:cs="Times New Roman"/>
          <w:color w:val="000000" w:themeColor="text1"/>
          <w:sz w:val="24"/>
          <w:szCs w:val="24"/>
          <w:shd w:val="clear" w:color="auto" w:fill="FFFFFF"/>
        </w:rPr>
        <w:t xml:space="preserve"> </w:t>
      </w:r>
      <w:r>
        <w:rPr>
          <w:rFonts w:ascii="Times New Roman" w:eastAsia="宋体" w:hAnsi="Times New Roman" w:cs="Times New Roman" w:hint="eastAsia"/>
          <w:color w:val="000000" w:themeColor="text1"/>
          <w:sz w:val="24"/>
          <w:szCs w:val="24"/>
          <w:shd w:val="clear" w:color="auto" w:fill="FFFFFF"/>
        </w:rPr>
        <w:t>g</w:t>
      </w:r>
      <w:r>
        <w:rPr>
          <w:rFonts w:ascii="Times New Roman" w:eastAsia="宋体" w:hAnsi="Times New Roman" w:cs="Times New Roman"/>
          <w:color w:val="000000" w:themeColor="text1"/>
          <w:sz w:val="24"/>
          <w:szCs w:val="24"/>
          <w:shd w:val="clear" w:color="auto" w:fill="FFFFFF"/>
        </w:rPr>
        <w:t>ene.</w:t>
      </w:r>
      <w:bookmarkEnd w:id="1"/>
      <w:r>
        <w:rPr>
          <w:rFonts w:ascii="Times New Roman" w:eastAsia="宋体" w:hAnsi="Times New Roman" w:cs="Times New Roman"/>
          <w:color w:val="000000" w:themeColor="text1"/>
          <w:sz w:val="24"/>
          <w:szCs w:val="24"/>
          <w:shd w:val="clear" w:color="auto" w:fill="FFFFFF"/>
        </w:rPr>
        <w:t xml:space="preserve"> </w:t>
      </w:r>
    </w:p>
    <w:p w14:paraId="0BEB0A5B" w14:textId="77777777" w:rsidR="00F24122" w:rsidRDefault="00000000">
      <w:r>
        <w:rPr>
          <w:noProof/>
        </w:rPr>
        <w:drawing>
          <wp:inline distT="0" distB="0" distL="0" distR="0" wp14:anchorId="2590A4BA" wp14:editId="390C386E">
            <wp:extent cx="5259705" cy="2611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59705" cy="2611755"/>
                    </a:xfrm>
                    <a:prstGeom prst="rect">
                      <a:avLst/>
                    </a:prstGeom>
                    <a:noFill/>
                    <a:ln>
                      <a:noFill/>
                    </a:ln>
                  </pic:spPr>
                </pic:pic>
              </a:graphicData>
            </a:graphic>
          </wp:inline>
        </w:drawing>
      </w:r>
    </w:p>
    <w:p w14:paraId="52F90DF7" w14:textId="77777777" w:rsidR="00F24122" w:rsidRDefault="00000000">
      <w:pPr>
        <w:spacing w:line="480" w:lineRule="auto"/>
        <w:rPr>
          <w:rFonts w:ascii="Times New Roman" w:eastAsia="宋体" w:hAnsi="Times New Roman" w:cs="Times New Roman"/>
          <w:b/>
          <w:bCs/>
          <w:color w:val="000000" w:themeColor="text1"/>
          <w:sz w:val="24"/>
          <w:szCs w:val="24"/>
          <w:shd w:val="clear" w:color="auto" w:fill="FFFFFF"/>
        </w:rPr>
      </w:pPr>
      <w:bookmarkStart w:id="2" w:name="_Hlk118410048"/>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S7. </w:t>
      </w:r>
      <w:r>
        <w:rPr>
          <w:rFonts w:ascii="Times New Roman" w:eastAsia="宋体" w:hAnsi="Times New Roman" w:cs="Times New Roman" w:hint="eastAsia"/>
          <w:color w:val="000000" w:themeColor="text1"/>
          <w:sz w:val="24"/>
          <w:szCs w:val="24"/>
          <w:shd w:val="clear" w:color="auto" w:fill="FFFFFF"/>
        </w:rPr>
        <w:t>(</w:t>
      </w:r>
      <w:r>
        <w:rPr>
          <w:rFonts w:ascii="Times New Roman" w:eastAsia="宋体" w:hAnsi="Times New Roman" w:cs="Times New Roman"/>
          <w:b/>
          <w:bCs/>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Kegg pathway map of 72</w:t>
      </w:r>
      <w:r>
        <w:rPr>
          <w:rFonts w:ascii="Times New Roman" w:eastAsia="宋体" w:hAnsi="Times New Roman" w:cs="Times New Roman" w:hint="eastAsia"/>
          <w:color w:val="000000" w:themeColor="text1"/>
          <w:sz w:val="24"/>
          <w:szCs w:val="24"/>
          <w:shd w:val="clear" w:color="auto" w:fill="FFFFFF"/>
        </w:rPr>
        <w:t xml:space="preserve"> overlapped DEG</w:t>
      </w:r>
      <w:r>
        <w:rPr>
          <w:rFonts w:ascii="Times New Roman" w:eastAsia="宋体" w:hAnsi="Times New Roman" w:cs="Times New Roman"/>
          <w:color w:val="000000" w:themeColor="text1"/>
          <w:sz w:val="24"/>
          <w:szCs w:val="24"/>
          <w:shd w:val="clear" w:color="auto" w:fill="FFFFFF"/>
        </w:rPr>
        <w:t xml:space="preserve">s in </w:t>
      </w:r>
      <w:r>
        <w:rPr>
          <w:rFonts w:ascii="Times New Roman" w:eastAsia="宋体" w:hAnsi="Times New Roman" w:cs="Times New Roman" w:hint="eastAsia"/>
          <w:color w:val="000000" w:themeColor="text1"/>
          <w:sz w:val="24"/>
          <w:szCs w:val="24"/>
          <w:shd w:val="clear" w:color="auto" w:fill="FFFFFF"/>
        </w:rPr>
        <w:t>all four</w:t>
      </w:r>
      <w:r>
        <w:rPr>
          <w:rFonts w:ascii="Times New Roman" w:eastAsia="宋体" w:hAnsi="Times New Roman" w:cs="Times New Roman"/>
          <w:color w:val="000000" w:themeColor="text1"/>
          <w:sz w:val="24"/>
          <w:szCs w:val="24"/>
          <w:shd w:val="clear" w:color="auto" w:fill="FFFFFF"/>
        </w:rPr>
        <w:t xml:space="preserve"> omics. </w:t>
      </w:r>
      <w:r>
        <w:rPr>
          <w:rFonts w:ascii="Times New Roman" w:eastAsia="宋体" w:hAnsi="Times New Roman" w:cs="Times New Roman" w:hint="eastAsia"/>
          <w:color w:val="000000" w:themeColor="text1"/>
          <w:sz w:val="24"/>
          <w:szCs w:val="24"/>
          <w:shd w:val="clear" w:color="auto" w:fill="FFFFFF"/>
        </w:rPr>
        <w:t>(</w:t>
      </w:r>
      <w:r>
        <w:rPr>
          <w:rFonts w:ascii="Times New Roman" w:eastAsia="宋体" w:hAnsi="Times New Roman" w:cs="Times New Roman"/>
          <w:b/>
          <w:bCs/>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 xml:space="preserve">) GO </w:t>
      </w:r>
      <w:r>
        <w:rPr>
          <w:rFonts w:ascii="Times New Roman" w:eastAsia="宋体" w:hAnsi="Times New Roman" w:cs="Times New Roman"/>
          <w:color w:val="000000" w:themeColor="text1"/>
          <w:sz w:val="24"/>
          <w:szCs w:val="24"/>
          <w:shd w:val="clear" w:color="auto" w:fill="FFFFFF"/>
        </w:rPr>
        <w:lastRenderedPageBreak/>
        <w:t xml:space="preserve">map of </w:t>
      </w:r>
      <w:r>
        <w:rPr>
          <w:rFonts w:ascii="Times New Roman" w:eastAsia="宋体" w:hAnsi="Times New Roman" w:cs="Times New Roman" w:hint="eastAsia"/>
          <w:color w:val="000000" w:themeColor="text1"/>
          <w:sz w:val="24"/>
          <w:szCs w:val="24"/>
          <w:shd w:val="clear" w:color="auto" w:fill="FFFFFF"/>
        </w:rPr>
        <w:t>72 overlapped DEG</w:t>
      </w:r>
      <w:r>
        <w:rPr>
          <w:rFonts w:ascii="Times New Roman" w:eastAsia="宋体" w:hAnsi="Times New Roman" w:cs="Times New Roman"/>
          <w:color w:val="000000" w:themeColor="text1"/>
          <w:sz w:val="24"/>
          <w:szCs w:val="24"/>
          <w:shd w:val="clear" w:color="auto" w:fill="FFFFFF"/>
        </w:rPr>
        <w:t>s</w:t>
      </w:r>
      <w:r>
        <w:rPr>
          <w:rFonts w:ascii="Times New Roman" w:eastAsia="宋体" w:hAnsi="Times New Roman" w:cs="Times New Roman" w:hint="eastAsia"/>
          <w:color w:val="000000" w:themeColor="text1"/>
          <w:sz w:val="24"/>
          <w:szCs w:val="24"/>
          <w:shd w:val="clear" w:color="auto" w:fill="FFFFFF"/>
        </w:rPr>
        <w:t xml:space="preserve">. </w:t>
      </w:r>
    </w:p>
    <w:bookmarkEnd w:id="2"/>
    <w:p w14:paraId="37998C74" w14:textId="77777777" w:rsidR="00F24122" w:rsidRDefault="00F24122"/>
    <w:p w14:paraId="18AE222C" w14:textId="77777777" w:rsidR="00F24122" w:rsidRDefault="00000000">
      <w:pPr>
        <w:spacing w:line="480" w:lineRule="auto"/>
        <w:rPr>
          <w:rFonts w:ascii="Times New Roman" w:eastAsia="宋体" w:hAnsi="Times New Roman" w:cs="Times New Roman"/>
          <w:color w:val="000000" w:themeColor="text1"/>
          <w:sz w:val="24"/>
          <w:szCs w:val="24"/>
          <w:shd w:val="clear" w:color="auto" w:fill="FFFFFF"/>
        </w:rPr>
      </w:pPr>
      <w:r>
        <w:rPr>
          <w:noProof/>
        </w:rPr>
        <w:drawing>
          <wp:inline distT="0" distB="0" distL="0" distR="0" wp14:anchorId="24DDAB08" wp14:editId="66F707ED">
            <wp:extent cx="5254625" cy="2642870"/>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b="32292"/>
                    <a:stretch>
                      <a:fillRect/>
                    </a:stretch>
                  </pic:blipFill>
                  <pic:spPr>
                    <a:xfrm>
                      <a:off x="0" y="0"/>
                      <a:ext cx="5254625" cy="2642870"/>
                    </a:xfrm>
                    <a:prstGeom prst="rect">
                      <a:avLst/>
                    </a:prstGeom>
                    <a:noFill/>
                    <a:ln>
                      <a:noFill/>
                    </a:ln>
                  </pic:spPr>
                </pic:pic>
              </a:graphicData>
            </a:graphic>
          </wp:inline>
        </w:drawing>
      </w:r>
      <w:bookmarkStart w:id="3" w:name="_Hlk118410019"/>
      <w:r>
        <w:rPr>
          <w:rFonts w:ascii="Times New Roman" w:eastAsia="宋体" w:hAnsi="Times New Roman" w:cs="Times New Roman"/>
          <w:b/>
          <w:bCs/>
          <w:color w:val="000000" w:themeColor="text1"/>
          <w:sz w:val="24"/>
          <w:szCs w:val="24"/>
          <w:shd w:val="clear" w:color="auto" w:fill="FFFFFF"/>
        </w:rPr>
        <w:t>Fig</w:t>
      </w:r>
      <w:r>
        <w:rPr>
          <w:rFonts w:ascii="Times New Roman" w:eastAsia="宋体" w:hAnsi="Times New Roman" w:cs="Times New Roman" w:hint="eastAsia"/>
          <w:b/>
          <w:bCs/>
          <w:color w:val="000000" w:themeColor="text1"/>
          <w:sz w:val="24"/>
          <w:szCs w:val="24"/>
          <w:shd w:val="clear" w:color="auto" w:fill="FFFFFF"/>
        </w:rPr>
        <w:t>ure</w:t>
      </w:r>
      <w:r>
        <w:rPr>
          <w:rFonts w:ascii="Times New Roman" w:eastAsia="宋体" w:hAnsi="Times New Roman" w:cs="Times New Roman"/>
          <w:b/>
          <w:bCs/>
          <w:color w:val="000000" w:themeColor="text1"/>
          <w:sz w:val="24"/>
          <w:szCs w:val="24"/>
          <w:shd w:val="clear" w:color="auto" w:fill="FFFFFF"/>
        </w:rPr>
        <w:t xml:space="preserve"> S8. </w:t>
      </w:r>
      <w:r>
        <w:rPr>
          <w:rFonts w:ascii="Times New Roman" w:eastAsia="宋体" w:hAnsi="Times New Roman" w:cs="Times New Roman"/>
          <w:color w:val="000000" w:themeColor="text1"/>
          <w:sz w:val="24"/>
          <w:szCs w:val="24"/>
          <w:shd w:val="clear" w:color="auto" w:fill="FFFFFF"/>
        </w:rPr>
        <w:t>Transcriptome correlation analysis.</w:t>
      </w:r>
      <w:r>
        <w:rPr>
          <w:rFonts w:ascii="Times New Roman" w:eastAsia="宋体" w:hAnsi="Times New Roman" w:cs="Times New Roman" w:hint="eastAsia"/>
          <w:color w:val="000000" w:themeColor="text1"/>
          <w:sz w:val="24"/>
          <w:szCs w:val="24"/>
          <w:shd w:val="clear" w:color="auto" w:fill="FFFFFF"/>
        </w:rPr>
        <w:t xml:space="preserve"> (</w:t>
      </w:r>
      <w:r>
        <w:rPr>
          <w:rFonts w:ascii="Times New Roman" w:eastAsia="宋体" w:hAnsi="Times New Roman" w:cs="Times New Roman"/>
          <w:b/>
          <w:bCs/>
          <w:color w:val="000000" w:themeColor="text1"/>
          <w:sz w:val="24"/>
          <w:szCs w:val="24"/>
          <w:shd w:val="clear" w:color="auto" w:fill="FFFFFF"/>
        </w:rPr>
        <w:t>A</w:t>
      </w:r>
      <w:r>
        <w:rPr>
          <w:rFonts w:ascii="Times New Roman" w:eastAsia="宋体" w:hAnsi="Times New Roman" w:cs="Times New Roman"/>
          <w:color w:val="000000" w:themeColor="text1"/>
          <w:sz w:val="24"/>
          <w:szCs w:val="24"/>
          <w:shd w:val="clear" w:color="auto" w:fill="FFFFFF"/>
        </w:rPr>
        <w:t xml:space="preserve">) Volcano plot of </w:t>
      </w:r>
      <w:r>
        <w:rPr>
          <w:rFonts w:ascii="Times New Roman" w:eastAsia="宋体" w:hAnsi="Times New Roman" w:cs="Times New Roman" w:hint="eastAsia"/>
          <w:color w:val="000000" w:themeColor="text1"/>
          <w:sz w:val="24"/>
          <w:szCs w:val="24"/>
          <w:shd w:val="clear" w:color="auto" w:fill="FFFFFF"/>
        </w:rPr>
        <w:t>DEGs</w:t>
      </w:r>
      <w:r>
        <w:rPr>
          <w:rFonts w:ascii="Times New Roman" w:eastAsia="宋体" w:hAnsi="Times New Roman" w:cs="Times New Roman"/>
          <w:color w:val="000000" w:themeColor="text1"/>
          <w:sz w:val="24"/>
          <w:szCs w:val="24"/>
          <w:shd w:val="clear" w:color="auto" w:fill="FFFFFF"/>
        </w:rPr>
        <w:t xml:space="preserve"> in 2Q vs 2W</w:t>
      </w:r>
      <w:r>
        <w:rPr>
          <w:rFonts w:ascii="Times New Roman" w:eastAsia="宋体" w:hAnsi="Times New Roman" w:cs="Times New Roman" w:hint="eastAsia"/>
          <w:color w:val="000000" w:themeColor="text1"/>
          <w:sz w:val="24"/>
          <w:szCs w:val="24"/>
          <w:shd w:val="clear" w:color="auto" w:fill="FFFFFF"/>
        </w:rPr>
        <w:t xml:space="preserve"> comparison</w:t>
      </w:r>
      <w:r>
        <w:rPr>
          <w:rFonts w:ascii="Times New Roman" w:eastAsia="宋体" w:hAnsi="Times New Roman" w:cs="Times New Roman"/>
          <w:color w:val="000000" w:themeColor="text1"/>
          <w:sz w:val="24"/>
          <w:szCs w:val="24"/>
          <w:shd w:val="clear" w:color="auto" w:fill="FFFFFF"/>
        </w:rPr>
        <w:t>.</w:t>
      </w:r>
      <w:r>
        <w:t xml:space="preserve"> </w:t>
      </w:r>
      <w:r>
        <w:rPr>
          <w:rFonts w:ascii="Times New Roman" w:eastAsia="宋体" w:hAnsi="Times New Roman" w:cs="Times New Roman"/>
          <w:color w:val="000000" w:themeColor="text1"/>
          <w:sz w:val="24"/>
          <w:szCs w:val="24"/>
          <w:shd w:val="clear" w:color="auto" w:fill="FFFFFF"/>
        </w:rPr>
        <w:t>Red dots are up-regulated DEGs, green dots are down-regulated DEGs, and blue dots are genes with no difference. (</w:t>
      </w:r>
      <w:r>
        <w:rPr>
          <w:rFonts w:ascii="Times New Roman" w:eastAsia="宋体" w:hAnsi="Times New Roman" w:cs="Times New Roman"/>
          <w:b/>
          <w:bCs/>
          <w:color w:val="000000" w:themeColor="text1"/>
          <w:sz w:val="24"/>
          <w:szCs w:val="24"/>
          <w:shd w:val="clear" w:color="auto" w:fill="FFFFFF"/>
        </w:rPr>
        <w:t>B</w:t>
      </w:r>
      <w:r>
        <w:rPr>
          <w:rFonts w:ascii="Times New Roman" w:eastAsia="宋体" w:hAnsi="Times New Roman" w:cs="Times New Roman"/>
          <w:color w:val="000000" w:themeColor="text1"/>
          <w:sz w:val="24"/>
          <w:szCs w:val="24"/>
          <w:shd w:val="clear" w:color="auto" w:fill="FFFFFF"/>
        </w:rPr>
        <w:t xml:space="preserve">) Volcano plot of </w:t>
      </w:r>
      <w:r>
        <w:rPr>
          <w:rFonts w:ascii="Times New Roman" w:eastAsia="宋体" w:hAnsi="Times New Roman" w:cs="Times New Roman" w:hint="eastAsia"/>
          <w:color w:val="000000" w:themeColor="text1"/>
          <w:sz w:val="24"/>
          <w:szCs w:val="24"/>
          <w:shd w:val="clear" w:color="auto" w:fill="FFFFFF"/>
        </w:rPr>
        <w:t>DEGs</w:t>
      </w:r>
      <w:r>
        <w:rPr>
          <w:rFonts w:ascii="Times New Roman" w:eastAsia="宋体" w:hAnsi="Times New Roman" w:cs="Times New Roman"/>
          <w:color w:val="000000" w:themeColor="text1"/>
          <w:sz w:val="24"/>
          <w:szCs w:val="24"/>
          <w:shd w:val="clear" w:color="auto" w:fill="FFFFFF"/>
        </w:rPr>
        <w:t xml:space="preserve"> in 4Q vs 4W</w:t>
      </w:r>
      <w:r>
        <w:rPr>
          <w:rFonts w:ascii="Times New Roman" w:eastAsia="宋体" w:hAnsi="Times New Roman" w:cs="Times New Roman" w:hint="eastAsia"/>
          <w:color w:val="000000" w:themeColor="text1"/>
          <w:sz w:val="24"/>
          <w:szCs w:val="24"/>
          <w:shd w:val="clear" w:color="auto" w:fill="FFFFFF"/>
        </w:rPr>
        <w:t xml:space="preserve"> comparison</w:t>
      </w:r>
      <w:r>
        <w:rPr>
          <w:rFonts w:ascii="Times New Roman" w:eastAsia="宋体" w:hAnsi="Times New Roman" w:cs="Times New Roman"/>
          <w:color w:val="000000" w:themeColor="text1"/>
          <w:sz w:val="24"/>
          <w:szCs w:val="24"/>
          <w:shd w:val="clear" w:color="auto" w:fill="FFFFFF"/>
        </w:rPr>
        <w:t>.</w:t>
      </w:r>
      <w:r>
        <w:t xml:space="preserve"> </w:t>
      </w:r>
      <w:r>
        <w:rPr>
          <w:rFonts w:ascii="Times New Roman" w:eastAsia="宋体" w:hAnsi="Times New Roman" w:cs="Times New Roman"/>
          <w:color w:val="000000" w:themeColor="text1"/>
          <w:sz w:val="24"/>
          <w:szCs w:val="24"/>
          <w:shd w:val="clear" w:color="auto" w:fill="FFFFFF"/>
        </w:rPr>
        <w:t xml:space="preserve">Red dots are up-regulated DEGs, green dots are down-regulated DEGs, and blue dots are genes with no difference. </w:t>
      </w:r>
      <w:bookmarkEnd w:id="3"/>
    </w:p>
    <w:p w14:paraId="6B61B844" w14:textId="77777777" w:rsidR="00F24122" w:rsidRDefault="00F24122"/>
    <w:p w14:paraId="1EE6F115" w14:textId="77777777" w:rsidR="00F24122" w:rsidRDefault="00F24122"/>
    <w:sectPr w:rsidR="00F24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F76F7" w14:textId="77777777" w:rsidR="00A80C0B" w:rsidRDefault="00A80C0B" w:rsidP="007A360E">
      <w:r>
        <w:separator/>
      </w:r>
    </w:p>
  </w:endnote>
  <w:endnote w:type="continuationSeparator" w:id="0">
    <w:p w14:paraId="268CF381" w14:textId="77777777" w:rsidR="00A80C0B" w:rsidRDefault="00A80C0B" w:rsidP="007A3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6ED4D" w14:textId="77777777" w:rsidR="00A80C0B" w:rsidRDefault="00A80C0B" w:rsidP="007A360E">
      <w:r>
        <w:separator/>
      </w:r>
    </w:p>
  </w:footnote>
  <w:footnote w:type="continuationSeparator" w:id="0">
    <w:p w14:paraId="461AC0A4" w14:textId="77777777" w:rsidR="00A80C0B" w:rsidRDefault="00A80C0B" w:rsidP="007A36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jODU1NDAxYTdiNzYwNDdlNmQzMjAzOGU5ODZmY2QifQ=="/>
  </w:docVars>
  <w:rsids>
    <w:rsidRoot w:val="00FF629D"/>
    <w:rsid w:val="00000848"/>
    <w:rsid w:val="00014D52"/>
    <w:rsid w:val="00034E66"/>
    <w:rsid w:val="000F6854"/>
    <w:rsid w:val="0016112E"/>
    <w:rsid w:val="001A709B"/>
    <w:rsid w:val="001D612A"/>
    <w:rsid w:val="001F2B54"/>
    <w:rsid w:val="002430D8"/>
    <w:rsid w:val="00252EE7"/>
    <w:rsid w:val="00254C62"/>
    <w:rsid w:val="002618CF"/>
    <w:rsid w:val="002727C7"/>
    <w:rsid w:val="002766DE"/>
    <w:rsid w:val="002810E4"/>
    <w:rsid w:val="002B042D"/>
    <w:rsid w:val="002B6EB0"/>
    <w:rsid w:val="002D7221"/>
    <w:rsid w:val="003224E5"/>
    <w:rsid w:val="00362259"/>
    <w:rsid w:val="00366BEF"/>
    <w:rsid w:val="003D4CC9"/>
    <w:rsid w:val="003E1428"/>
    <w:rsid w:val="003F13C7"/>
    <w:rsid w:val="003F6969"/>
    <w:rsid w:val="00401C04"/>
    <w:rsid w:val="00410FDD"/>
    <w:rsid w:val="00421FFF"/>
    <w:rsid w:val="00495E54"/>
    <w:rsid w:val="004A7878"/>
    <w:rsid w:val="004E05CE"/>
    <w:rsid w:val="004F1E96"/>
    <w:rsid w:val="00500666"/>
    <w:rsid w:val="005055E8"/>
    <w:rsid w:val="00512340"/>
    <w:rsid w:val="005143B8"/>
    <w:rsid w:val="005309BA"/>
    <w:rsid w:val="00535182"/>
    <w:rsid w:val="00553789"/>
    <w:rsid w:val="0057010C"/>
    <w:rsid w:val="005804FF"/>
    <w:rsid w:val="00592665"/>
    <w:rsid w:val="005A3CA5"/>
    <w:rsid w:val="005D5CD9"/>
    <w:rsid w:val="00675648"/>
    <w:rsid w:val="00692AE9"/>
    <w:rsid w:val="00693FA7"/>
    <w:rsid w:val="006C160B"/>
    <w:rsid w:val="006D08E7"/>
    <w:rsid w:val="006D46C8"/>
    <w:rsid w:val="006E2E60"/>
    <w:rsid w:val="00735108"/>
    <w:rsid w:val="00752EAA"/>
    <w:rsid w:val="007619DB"/>
    <w:rsid w:val="00762F58"/>
    <w:rsid w:val="00763757"/>
    <w:rsid w:val="00765DCA"/>
    <w:rsid w:val="00771413"/>
    <w:rsid w:val="00773D2E"/>
    <w:rsid w:val="007A360E"/>
    <w:rsid w:val="007C30D9"/>
    <w:rsid w:val="007D34A5"/>
    <w:rsid w:val="007E0F59"/>
    <w:rsid w:val="007F25CC"/>
    <w:rsid w:val="008572CD"/>
    <w:rsid w:val="00863E36"/>
    <w:rsid w:val="008A4E15"/>
    <w:rsid w:val="008B02CF"/>
    <w:rsid w:val="008E1E4A"/>
    <w:rsid w:val="0091044A"/>
    <w:rsid w:val="00927998"/>
    <w:rsid w:val="0093131B"/>
    <w:rsid w:val="00970BED"/>
    <w:rsid w:val="00972392"/>
    <w:rsid w:val="00987DD2"/>
    <w:rsid w:val="009950B0"/>
    <w:rsid w:val="009B03E4"/>
    <w:rsid w:val="009B62FE"/>
    <w:rsid w:val="009C2944"/>
    <w:rsid w:val="009D3A5E"/>
    <w:rsid w:val="009D4BD0"/>
    <w:rsid w:val="00A067A9"/>
    <w:rsid w:val="00A12DC7"/>
    <w:rsid w:val="00A26A45"/>
    <w:rsid w:val="00A45036"/>
    <w:rsid w:val="00A470BD"/>
    <w:rsid w:val="00A5490B"/>
    <w:rsid w:val="00A56F16"/>
    <w:rsid w:val="00A76AE1"/>
    <w:rsid w:val="00A80C0B"/>
    <w:rsid w:val="00A84897"/>
    <w:rsid w:val="00AA02FF"/>
    <w:rsid w:val="00AA0B93"/>
    <w:rsid w:val="00AA5BB4"/>
    <w:rsid w:val="00AB4645"/>
    <w:rsid w:val="00AF7AFC"/>
    <w:rsid w:val="00B023FA"/>
    <w:rsid w:val="00B128EF"/>
    <w:rsid w:val="00B91430"/>
    <w:rsid w:val="00BC3104"/>
    <w:rsid w:val="00C36E83"/>
    <w:rsid w:val="00C4560A"/>
    <w:rsid w:val="00C506F1"/>
    <w:rsid w:val="00CC6B9F"/>
    <w:rsid w:val="00CE37A5"/>
    <w:rsid w:val="00D071BE"/>
    <w:rsid w:val="00D375A0"/>
    <w:rsid w:val="00D44D01"/>
    <w:rsid w:val="00D572D9"/>
    <w:rsid w:val="00D7661B"/>
    <w:rsid w:val="00DA494F"/>
    <w:rsid w:val="00DD2A4A"/>
    <w:rsid w:val="00DD7C0E"/>
    <w:rsid w:val="00DE1253"/>
    <w:rsid w:val="00E0393B"/>
    <w:rsid w:val="00E1177D"/>
    <w:rsid w:val="00E32594"/>
    <w:rsid w:val="00E349BE"/>
    <w:rsid w:val="00E3576F"/>
    <w:rsid w:val="00E92A6A"/>
    <w:rsid w:val="00EA0D4B"/>
    <w:rsid w:val="00EA39F8"/>
    <w:rsid w:val="00F05B0F"/>
    <w:rsid w:val="00F139ED"/>
    <w:rsid w:val="00F232DD"/>
    <w:rsid w:val="00F24122"/>
    <w:rsid w:val="00F36CA8"/>
    <w:rsid w:val="00F50ABF"/>
    <w:rsid w:val="00F7232F"/>
    <w:rsid w:val="00F84FE2"/>
    <w:rsid w:val="00FA7CE1"/>
    <w:rsid w:val="00FB44CD"/>
    <w:rsid w:val="00FD0BFE"/>
    <w:rsid w:val="00FE2D81"/>
    <w:rsid w:val="00FF5603"/>
    <w:rsid w:val="00FF5A15"/>
    <w:rsid w:val="00FF629D"/>
    <w:rsid w:val="105E4688"/>
    <w:rsid w:val="26617384"/>
    <w:rsid w:val="292D20AC"/>
    <w:rsid w:val="30866396"/>
    <w:rsid w:val="52AB5157"/>
    <w:rsid w:val="5B31581D"/>
    <w:rsid w:val="74EB2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B25395"/>
  <w15:docId w15:val="{644836A0-B3BF-4AB2-83FA-BDFAED1AA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632</Words>
  <Characters>3605</Characters>
  <Application>Microsoft Office Word</Application>
  <DocSecurity>0</DocSecurity>
  <Lines>30</Lines>
  <Paragraphs>8</Paragraphs>
  <ScaleCrop>false</ScaleCrop>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3877</dc:creator>
  <cp:lastModifiedBy>3877</cp:lastModifiedBy>
  <cp:revision>25</cp:revision>
  <dcterms:created xsi:type="dcterms:W3CDTF">2022-02-20T04:55:00Z</dcterms:created>
  <dcterms:modified xsi:type="dcterms:W3CDTF">2022-12-02T07:19:00Z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BFA7D1B7BD674F3D851562EEA06E2BD4</vt:lpwstr>
  </property>
</Properties>
</file>