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Dossiê de Auditoria — CPFL Energia S.A.</w:t>
      </w:r>
    </w:p>
    <w:p>
      <w:pPr>
        <w:pStyle w:val="Subtitle"/>
        <w:rPr/>
      </w:pPr>
      <w:r>
        <w:rPr/>
        <w:t>Demonstrações contábeis consolidadas de 2025 · Trabalho acadêmico</w:t>
      </w:r>
    </w:p>
    <w:p>
      <w:pPr>
        <w:pStyle w:val="Author"/>
        <w:rPr/>
      </w:pPr>
      <w:r>
        <w:rPr/>
        <w:t>Cauã Victor Araújo Pimentel</w:t>
      </w:r>
    </w:p>
    <w:p>
      <w:pPr>
        <w:pStyle w:val="Author"/>
        <w:rPr/>
      </w:pPr>
      <w:r>
        <w:rPr/>
        <w:t>Matrícula 231020069 · Universidade de Brasília · Auditoria 1 (CCA0024) · Turma 02 · 2026.2</w:t>
      </w:r>
    </w:p>
    <w:p>
      <w:pPr>
        <w:pStyle w:val="Author"/>
        <w:rPr/>
      </w:pPr>
      <w:r>
        <w:rPr/>
        <w:t>Prof. Lucas Oliveira Gomes Ferreira</w:t>
      </w:r>
    </w:p>
    <w:p>
      <w:pPr>
        <w:pStyle w:val="Date"/>
        <w:rPr/>
      </w:pPr>
      <w:r>
        <w:rPr/>
        <w:t>Versão 1.0 — 24/10/2026 (versão final)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1459_1660191972">
            <w:r>
              <w:rPr>
                <w:webHidden/>
                <w:rStyle w:val="IndexLink"/>
              </w:rPr>
              <w:t>1. Introdução e escopo</w:t>
              <w:tab/>
              <w:t>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461_1660191972">
            <w:r>
              <w:rPr>
                <w:webHidden/>
                <w:rStyle w:val="IndexLink"/>
              </w:rPr>
              <w:t>2. Metodologia, convenções e limitações</w:t>
              <w:tab/>
              <w:t>6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63_1660191972">
            <w:r>
              <w:rPr>
                <w:webHidden/>
                <w:rStyle w:val="IndexLink"/>
              </w:rPr>
              <w:t>2.1 Modalidades e marcas</w:t>
              <w:tab/>
              <w:t>6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65_1660191972">
            <w:r>
              <w:rPr>
                <w:webHidden/>
                <w:rStyle w:val="IndexLink"/>
              </w:rPr>
              <w:t>2.2 Citação de fontes</w:t>
              <w:tab/>
              <w:t>6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67_1660191972">
            <w:r>
              <w:rPr>
                <w:webHidden/>
                <w:rStyle w:val="IndexLink"/>
              </w:rPr>
              <w:t>2.3 Versões normativas aplicadas ao exercício de 2025</w:t>
              <w:tab/>
              <w:t>6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69_1660191972">
            <w:r>
              <w:rPr>
                <w:webHidden/>
                <w:rStyle w:val="IndexLink"/>
              </w:rPr>
              <w:t>2.4 Limitações gerais</w:t>
              <w:tab/>
              <w:t>7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71_1660191972">
            <w:r>
              <w:rPr>
                <w:webHidden/>
                <w:rStyle w:val="IndexLink"/>
              </w:rPr>
              <w:t>2.5 Modelo de papel de trabalho</w:t>
              <w:tab/>
              <w:t>7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73_1660191972">
            <w:r>
              <w:rPr>
                <w:webHidden/>
                <w:rStyle w:val="IndexLink"/>
              </w:rPr>
              <w:t>2.6 Referências cruzadas</w:t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475_1660191972">
            <w:r>
              <w:rPr>
                <w:webHidden/>
                <w:rStyle w:val="IndexLink"/>
              </w:rPr>
              <w:t>3. Entendimento da entidade e dados reais</w:t>
              <w:tab/>
              <w:t>9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77_1660191972">
            <w:r>
              <w:rPr>
                <w:webHidden/>
                <w:rStyle w:val="IndexLink"/>
              </w:rPr>
              <w:t>3.1 Identificação da companhia atribuída</w:t>
              <w:tab/>
              <w:t>9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79_1660191972">
            <w:r>
              <w:rPr>
                <w:webHidden/>
                <w:rStyle w:val="IndexLink"/>
              </w:rPr>
              <w:t>3.2 Conferência DF25 (PDF) × base de dados da CVM (Bloco 13)</w:t>
              <w:tab/>
              <w:t>9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81_1660191972">
            <w:r>
              <w:rPr>
                <w:webHidden/>
                <w:rStyle w:val="IndexLink"/>
              </w:rPr>
              <w:t>3.3 Memorando factual da entidade (Bloco 02)</w:t>
              <w:tab/>
              <w:t>10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483_1660191972">
            <w:r>
              <w:rPr>
                <w:webHidden/>
                <w:rStyle w:val="IndexLink"/>
              </w:rPr>
              <w:t>4. Situação dos papéis de trabalho nesta versão</w:t>
              <w:tab/>
              <w:t>11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485_1660191972">
            <w:r>
              <w:rPr>
                <w:webHidden/>
                <w:rStyle w:val="IndexLink"/>
              </w:rPr>
              <w:t>5. Papéis de trabalho</w:t>
              <w:tab/>
              <w:t>12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87_1660191972">
            <w:r>
              <w:rPr>
                <w:webHidden/>
                <w:rStyle w:val="IndexLink"/>
              </w:rPr>
              <w:t>PT EC — Estrutura Conceitual — caracterização do trabalho de asseguração</w:t>
              <w:tab/>
              <w:t>12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89_1660191972">
            <w:r>
              <w:rPr>
                <w:webHidden/>
                <w:rStyle w:val="IndexLink"/>
              </w:rPr>
              <w:t>PT 200 — Objetivos gerais do auditor, ética, ceticismo, julgamento e risco de auditoria</w:t>
              <w:tab/>
              <w:t>14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91_1660191972">
            <w:r>
              <w:rPr>
                <w:webHidden/>
                <w:rStyle w:val="IndexLink"/>
              </w:rPr>
              <w:t>PT 210 — Concordância com os termos do trabalho — precondições e carta de contratação didática</w:t>
              <w:tab/>
              <w:t>16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93_1660191972">
            <w:r>
              <w:rPr>
                <w:webHidden/>
                <w:rStyle w:val="IndexLink"/>
              </w:rPr>
              <w:t>PT 220 — Gestão da qualidade no nível do trabalho</w:t>
              <w:tab/>
              <w:t>18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95_1660191972">
            <w:r>
              <w:rPr>
                <w:webHidden/>
                <w:rStyle w:val="IndexLink"/>
              </w:rPr>
              <w:t>PT 230 — Documentação de auditoria — índice, códigos, referências, versões, montagem e guarda</w:t>
              <w:tab/>
              <w:t>21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97_1660191972">
            <w:r>
              <w:rPr>
                <w:webHidden/>
                <w:rStyle w:val="IndexLink"/>
              </w:rPr>
              <w:t>PT 240 — Responsabilidade do auditor em relação a fraude</w:t>
              <w:tab/>
              <w:t>23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499_1660191972">
            <w:r>
              <w:rPr>
                <w:webHidden/>
                <w:rStyle w:val="IndexLink"/>
              </w:rPr>
              <w:t>PT 250 — Consideração de leis e regulamentos</w:t>
              <w:tab/>
              <w:t>26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01_1660191972">
            <w:r>
              <w:rPr>
                <w:webHidden/>
                <w:rStyle w:val="IndexLink"/>
              </w:rPr>
              <w:t>PT 260 — Comunicação com os responsáveis pela governança (MINUTA NÃO ENVIADA)</w:t>
              <w:tab/>
              <w:t>28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03_1660191972">
            <w:r>
              <w:rPr>
                <w:webHidden/>
                <w:rStyle w:val="IndexLink"/>
              </w:rPr>
              <w:t>PT 265 — Comunicação de deficiências de controle interno</w:t>
              <w:tab/>
              <w:t>30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05_1660191972">
            <w:r>
              <w:rPr>
                <w:webHidden/>
                <w:rStyle w:val="IndexLink"/>
              </w:rPr>
              <w:t>PT 300 — Planejamento — estratégia global, plano, cronograma e programas por ciclo</w:t>
              <w:tab/>
              <w:t>32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07_1660191972">
            <w:r>
              <w:rPr>
                <w:webHidden/>
                <w:rStyle w:val="IndexLink"/>
              </w:rPr>
              <w:t>PT 315 — Identificação e avaliação dos riscos de distorção relevante</w:t>
              <w:tab/>
              <w:t>34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09_1660191972">
            <w:r>
              <w:rPr>
                <w:webHidden/>
                <w:rStyle w:val="IndexLink"/>
              </w:rPr>
              <w:t>PT 320 — Materialidade no planejamento e na execução</w:t>
              <w:tab/>
              <w:t>37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11_1660191972">
            <w:r>
              <w:rPr>
                <w:webHidden/>
                <w:rStyle w:val="IndexLink"/>
              </w:rPr>
              <w:t>PT 330 — Respostas do auditor aos riscos avaliados</w:t>
              <w:tab/>
              <w:t>38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13_1660191972">
            <w:r>
              <w:rPr>
                <w:webHidden/>
                <w:rStyle w:val="IndexLink"/>
              </w:rPr>
              <w:t>PT 402 — Considerações de auditoria para entidade que utiliza organização prestadora de serviços</w:t>
              <w:tab/>
              <w:t>42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15_1660191972">
            <w:r>
              <w:rPr>
                <w:webHidden/>
                <w:rStyle w:val="IndexLink"/>
              </w:rPr>
              <w:t>PT 450 — Avaliação das distorções identificadas — consolidação final (sintética, pública e hipóteses)</w:t>
              <w:tab/>
              <w:t>44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17_1660191972">
            <w:r>
              <w:rPr>
                <w:webHidden/>
                <w:rStyle w:val="IndexLink"/>
              </w:rPr>
              <w:t>PT 500 — Evidência de auditoria — base sintética, conciliação e matriz de suficiência por afirmação</w:t>
              <w:tab/>
              <w:t>47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19_1660191972">
            <w:r>
              <w:rPr>
                <w:webHidden/>
                <w:rStyle w:val="IndexLink"/>
              </w:rPr>
              <w:t>PT 501 — Evidência de auditoria — considerações específicas: estoques, litígios e informações por segmento</w:t>
              <w:tab/>
              <w:t>51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21_1660191972">
            <w:r>
              <w:rPr>
                <w:webHidden/>
                <w:rStyle w:val="IndexLink"/>
              </w:rPr>
              <w:t>PT 505 — Confirmações externas — desenho, controle e minutas (MODELOS NÃO ENVIADOS)</w:t>
              <w:tab/>
              <w:t>53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23_1660191972">
            <w:r>
              <w:rPr>
                <w:webHidden/>
                <w:rStyle w:val="IndexLink"/>
              </w:rPr>
              <w:t>PT 510 — Trabalhos iniciais — saldos iniciais (auditoria inicial didática)</w:t>
              <w:tab/>
              <w:t>55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25_1660191972">
            <w:r>
              <w:rPr>
                <w:webHidden/>
                <w:rStyle w:val="IndexLink"/>
              </w:rPr>
              <w:t>PT 520 — Procedimentos analíticos — avaliação de risco e substantivo sobre o ajuste a valor justo do ativo financeiro da concessão</w:t>
              <w:tab/>
              <w:t>57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27_1660191972">
            <w:r>
              <w:rPr>
                <w:webHidden/>
                <w:rStyle w:val="IndexLink"/>
              </w:rPr>
              <w:t>PT 530 — Amostragem em auditoria — ativo financeiro da concessão (base sintética)</w:t>
              <w:tab/>
              <w:t>60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29_1660191972">
            <w:r>
              <w:rPr>
                <w:webHidden/>
                <w:rStyle w:val="IndexLink"/>
              </w:rPr>
              <w:t>PT 540 — Auditoria de estimativas contábeis — valor justo do ativo financeiro da concessão (VNR)</w:t>
              <w:tab/>
              <w:t>64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31_1660191972">
            <w:r>
              <w:rPr>
                <w:webHidden/>
                <w:rStyle w:val="IndexLink"/>
              </w:rPr>
              <w:t>PT 550 — Partes relacionadas</w:t>
              <w:tab/>
              <w:t>67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33_1660191972">
            <w:r>
              <w:rPr>
                <w:webHidden/>
                <w:rStyle w:val="IndexLink"/>
              </w:rPr>
              <w:t>PT 560 — Eventos subsequentes</w:t>
              <w:tab/>
              <w:t>70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35_1660191972">
            <w:r>
              <w:rPr>
                <w:webHidden/>
                <w:rStyle w:val="IndexLink"/>
              </w:rPr>
              <w:t>PT 570 — Continuidade operacional</w:t>
              <w:tab/>
              <w:t>73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37_1660191972">
            <w:r>
              <w:rPr>
                <w:webHidden/>
                <w:rStyle w:val="IndexLink"/>
              </w:rPr>
              <w:t>PT 580 — Representações formais — minuta de carta (NÃO ENVIADA, sem assinatura)</w:t>
              <w:tab/>
              <w:t>75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39_1660191972">
            <w:r>
              <w:rPr>
                <w:webHidden/>
                <w:rStyle w:val="IndexLink"/>
              </w:rPr>
              <w:t>PT 600 — Auditoria de demonstrações contábeis de grupo</w:t>
              <w:tab/>
              <w:t>77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541_1660191972">
            <w:r>
              <w:rPr>
                <w:webHidden/>
                <w:rStyle w:val="IndexLink"/>
              </w:rPr>
              <w:t>6. Programas de auditoria por ciclo</w:t>
              <w:tab/>
              <w:t>82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43_1660191972">
            <w:r>
              <w:rPr>
                <w:webHidden/>
                <w:rStyle w:val="IndexLink"/>
              </w:rPr>
              <w:t>PG-REC — Programa de auditoria: Receitas</w:t>
              <w:tab/>
              <w:t>82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45_1660191972">
            <w:r>
              <w:rPr>
                <w:webHidden/>
                <w:rStyle w:val="IndexLink"/>
              </w:rPr>
              <w:t>PG-DISP — Programa de auditoria: Disponibilidades</w:t>
              <w:tab/>
              <w:t>82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47_1660191972">
            <w:r>
              <w:rPr>
                <w:webHidden/>
                <w:rStyle w:val="IndexLink"/>
              </w:rPr>
              <w:t>PG-EST — Programa de auditoria: Estoques</w:t>
              <w:tab/>
              <w:t>82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49_1660191972">
            <w:r>
              <w:rPr>
                <w:webHidden/>
                <w:rStyle w:val="IndexLink"/>
              </w:rPr>
              <w:t>PG-IMOB — Programa de auditoria: Imobilizado (e intangível/ativos da concessão)</w:t>
              <w:tab/>
              <w:t>82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51_1660191972">
            <w:r>
              <w:rPr>
                <w:webHidden/>
                <w:rStyle w:val="IndexLink"/>
              </w:rPr>
              <w:t>PG-PASS — Programa de auditoria: Passivos</w:t>
              <w:tab/>
              <w:t>83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53_1660191972">
            <w:r>
              <w:rPr>
                <w:webHidden/>
                <w:rStyle w:val="IndexLink"/>
              </w:rPr>
              <w:t>PG-ESTIM — Programa de auditoria: Estimativas</w:t>
              <w:tab/>
              <w:t>83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55_1660191972">
            <w:r>
              <w:rPr>
                <w:webHidden/>
                <w:rStyle w:val="IndexLink"/>
              </w:rPr>
              <w:t>PG-CONS — Programa de auditoria: Consolidação e grupo</w:t>
              <w:tab/>
              <w:t>83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557_1660191972">
            <w:r>
              <w:rPr>
                <w:webHidden/>
                <w:rStyle w:val="IndexLink"/>
              </w:rPr>
              <w:t>7. Conclusão integrada do trabalho (sem opinião profissional)</w:t>
              <w:tab/>
              <w:t>85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559_1660191972">
            <w:r>
              <w:rPr>
                <w:webHidden/>
                <w:rStyle w:val="IndexLink"/>
              </w:rPr>
              <w:t>8. Base sintética: projeto (Bloco 06) e geração (Bloco 07)</w:t>
              <w:tab/>
              <w:t>87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61_1660191972">
            <w:r>
              <w:rPr>
                <w:webHidden/>
                <w:rStyle w:val="IndexLink"/>
              </w:rPr>
              <w:t>8.1 Projeto da base (Bloco 06) — aprovado pelo aluno em 23/10/2026 (D-B06-01 e D-B06-02)</w:t>
              <w:tab/>
              <w:t>87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63_1660191972">
            <w:r>
              <w:rPr>
                <w:webHidden/>
                <w:rStyle w:val="IndexLink"/>
              </w:rPr>
              <w:t>8.2 Geração, conciliação e dicionário (Bloco 07)</w:t>
              <w:tab/>
              <w:t>94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565_1660191972">
            <w:r>
              <w:rPr>
                <w:webHidden/>
                <w:rStyle w:val="IndexLink"/>
              </w:rPr>
              <w:t>Apêndice A — Divergências registradas</w:t>
              <w:tab/>
              <w:t>96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567_1660191972">
            <w:r>
              <w:rPr>
                <w:webHidden/>
                <w:rStyle w:val="IndexLink"/>
              </w:rPr>
              <w:t>Apêndice B — Fontes utilizadas</w:t>
              <w:tab/>
              <w:t>98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569_1660191972">
            <w:r>
              <w:rPr>
                <w:webHidden/>
                <w:rStyle w:val="IndexLink"/>
              </w:rPr>
              <w:t>Apêndice C — Anexos digitais que acompanham o dossiê (repositório)</w:t>
              <w:tab/>
              <w:t>102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571_1660191972">
            <w:r>
              <w:rPr>
                <w:webHidden/>
                <w:rStyle w:val="IndexLink"/>
              </w:rPr>
              <w:t>Apêndice D — Minutas didáticas NÃO ENVIADAS (PT 260, PT 265 e PT 580)</w:t>
              <w:tab/>
              <w:t>103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73_1660191972">
            <w:r>
              <w:rPr>
                <w:webHidden/>
                <w:rStyle w:val="IndexLink"/>
              </w:rPr>
              <w:t>1. Comunicação com os responsáveis pela governança (NBC TA 260 (R2), itens 14–17 e 19; NORMAS p. 207–208) — NÃO ENVIADA</w:t>
              <w:tab/>
              <w:t>103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75_1660191972">
            <w:r>
              <w:rPr>
                <w:webHidden/>
                <w:rStyle w:val="IndexLink"/>
              </w:rPr>
              <w:t>2. Comunicação de deficiências de controle interno (NBC TA 265, itens 9–11; NORMAS p. 229–230) — NÃO ENVIADA</w:t>
              <w:tab/>
              <w:t>104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77_1660191972">
            <w:r>
              <w:rPr>
                <w:webHidden/>
                <w:rStyle w:val="IndexLink"/>
              </w:rPr>
              <w:t>3. Carta de representação (NBC TA 580 (R1), itens 9–15; NORMAS p. 663–664) — NÃO ENVIADA, SEM ASSINATURA</w:t>
              <w:tab/>
              <w:t>104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31579_1660191972">
            <w:r>
              <w:rPr>
                <w:webHidden/>
                <w:rStyle w:val="IndexLink"/>
              </w:rPr>
              <w:t>4. Situação</w:t>
              <w:tab/>
              <w:t>105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lockText"/>
        <w:rPr/>
      </w:pPr>
      <w:r>
        <w:rPr>
          <w:b/>
          <w:bCs/>
        </w:rPr>
        <w:t>AVISO.</w:t>
      </w:r>
      <w:r>
        <w:rPr/>
        <w:t xml:space="preserve"> Trabalho acadêmico individual. Não é opinião profissional nem relatório de auditoria e não fornece asseguração (ver PT EC). Usa somente documentos públicos (CVM, B3, RI da companhia) e dados </w:t>
      </w:r>
      <w:r>
        <w:rPr>
          <w:b/>
          <w:bCs/>
        </w:rPr>
        <w:t>sintéticos</w:t>
      </w:r>
      <w:r>
        <w:rPr/>
        <w:t xml:space="preserve"> identificados como tais. Não houve contato com a CPFL, seus auditores, clientes ou fornecedores. Procedimentos são classificados como </w:t>
      </w:r>
      <w:r>
        <w:rPr>
          <w:b/>
          <w:bCs/>
        </w:rPr>
        <w:t>Realizado com evidência pública</w:t>
      </w:r>
      <w:r>
        <w:rPr/>
        <w:t xml:space="preserve">, </w:t>
      </w:r>
      <w:r>
        <w:rPr>
          <w:b/>
          <w:bCs/>
        </w:rPr>
        <w:t>Planejado por falta de acesso</w:t>
      </w:r>
      <w:r>
        <w:rPr/>
        <w:t xml:space="preserve"> ou </w:t>
      </w:r>
      <w:r>
        <w:rPr>
          <w:b/>
          <w:bCs/>
        </w:rPr>
        <w:t>Simulado para fins didáticos</w:t>
      </w:r>
      <w:r>
        <w:rPr/>
        <w:t>.</w:t>
      </w:r>
      <w:r>
        <w:br w:type="page"/>
      </w:r>
    </w:p>
    <w:p>
      <w:pPr>
        <w:pStyle w:val="Heading1"/>
        <w:rPr/>
      </w:pPr>
      <w:bookmarkStart w:id="0" w:name="__RefHeading___Toc31459_1660191972"/>
      <w:bookmarkStart w:id="1" w:name="introdução-e-escopo"/>
      <w:bookmarkEnd w:id="0"/>
      <w:r>
        <w:rPr/>
        <w:t>1. Introdução e escopo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Companhia atribuída:</w:t>
      </w:r>
      <w:r>
        <w:rPr/>
        <w:t xml:space="preserve"> CPFL Energia S.A. — CNPJ 02.429.144/0001-93 — CPFE3 (Novo Mercado). Nome anterior: “Draft II” (FR 2025 v6, item 1.1).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Objeto:</w:t>
      </w:r>
      <w:r>
        <w:rPr/>
        <w:t xml:space="preserve"> demonstrações contábeis individuais e consolidadas de 31/12/2025, comparativos de 2024, notas explicativas e relatório do auditor independente (PwC, 04/03/2026), publicadas em DF25 CPFL.pdf (115 p.).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Perímetro principal:</w:t>
      </w:r>
      <w:r>
        <w:rPr/>
        <w:t xml:space="preserve"> consolidado societário. A controladora individual é usada para a parte de </w:t>
      </w:r>
      <w:r>
        <w:rPr>
          <w:i/>
          <w:iCs/>
        </w:rPr>
        <w:t>holding</w:t>
      </w:r>
      <w:r>
        <w:rPr/>
        <w:t xml:space="preserve"> e o PT 600.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Normas:</w:t>
      </w:r>
      <w:r>
        <w:rPr/>
        <w:t xml:space="preserve"> NBC TA Estrutura Conceitual e NBC TA 200 a 600, nas versões aplicáveis ao exercício de 2025 (seção 2.3).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Base sintética obrigatória:</w:t>
      </w:r>
      <w:r>
        <w:rPr/>
        <w:t xml:space="preserve"> ativo financeiro da concessão (R$ 29.623.619 mil; 36,5% do ativo total — DF25 p. 34/2), com base sintética de 501.000 registros (500.000 bens + 1.000 duplicidades previstas no desenho), conciliada no total e por distribuidora com os saldos publicados (PT 500; Bloco 07).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Entrega:</w:t>
      </w:r>
      <w:r>
        <w:rPr/>
        <w:t xml:space="preserve"> repositório GitHub até 25/10/2026, com este dossiê e os anexos editáveis (planilhas, base, códigos, README).</w:t>
      </w:r>
      <w:bookmarkEnd w:id="1"/>
      <w:r>
        <w:br w:type="page"/>
      </w:r>
    </w:p>
    <w:p>
      <w:pPr>
        <w:pStyle w:val="Heading1"/>
        <w:rPr/>
      </w:pPr>
      <w:bookmarkStart w:id="2" w:name="__RefHeading___Toc31461_1660191972"/>
      <w:bookmarkEnd w:id="2"/>
      <w:r>
        <w:rPr/>
        <w:t>2. Metodologia, convenções e limitações</w:t>
      </w:r>
    </w:p>
    <w:p>
      <w:pPr>
        <w:pStyle w:val="Heading2"/>
        <w:rPr/>
      </w:pPr>
      <w:bookmarkStart w:id="3" w:name="__RefHeading___Toc31463_1660191972"/>
      <w:bookmarkEnd w:id="3"/>
      <w:r>
        <w:rPr/>
        <w:t>2.1 Modalidades e marcas</w:t>
      </w:r>
    </w:p>
    <w:p>
      <w:pPr>
        <w:pStyle w:val="FirstParagraph"/>
        <w:rPr/>
      </w:pPr>
      <w:r>
        <w:rPr/>
        <w:t>Cada procedimento recebe uma das três modalidades do enunciado. Um PT pode combinar modalidades, desde que cada procedimento tenha a sua.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Sigla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Quando usar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[Pub]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Executado com documentos efetivamente obtidos (CVM, B3, RI, DF)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[P]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Detalhado, mas não executado: depende de registros, pessoas, terceiros ou sistemas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[S]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Executado sobre dados sintéticos ou minuta não enviada, identificados como tais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79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Marca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Significado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✓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Conferido com o documento-fonte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Σ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Soma ou recálculo conferido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⇄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Cruzado com fonte independente (por exemplo, PDF × CVM)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↔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Referência cruzada a outro PT ou planilha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⚠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Exceção ou diferença explicada no próprio PT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◐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Limitação: evidência indisponível ou parcial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◇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Hipótese ou julgamento do preparador (não é fato documentado)</w:t>
            </w:r>
            <w:bookmarkStart w:id="4" w:name="modalidades-e-marcas"/>
            <w:bookmarkEnd w:id="4"/>
          </w:p>
        </w:tc>
      </w:tr>
    </w:tbl>
    <w:p>
      <w:pPr>
        <w:pStyle w:val="Heading2"/>
        <w:rPr/>
      </w:pPr>
      <w:bookmarkStart w:id="5" w:name="__RefHeading___Toc31465_1660191972"/>
      <w:bookmarkEnd w:id="5"/>
      <w:r>
        <w:rPr/>
        <w:t>2.2 Citação de fontes</w:t>
      </w:r>
    </w:p>
    <w:p>
      <w:pPr>
        <w:pStyle w:val="FirstParagraph"/>
        <w:rPr/>
      </w:pPr>
      <w:r>
        <w:rPr/>
        <w:t>Todas as citações informam o documento e a página. “DF25 p. 34/2” = DF25 CPFL.pdf, página física 34 / página impressa 2. “NORMAS p. n” = CONSOLIDAÇÃO DAS NORMAS AUD 1.pdf, página n do PDF. A relação completa das fontes, com URL e data de acesso, está no Apêndice B.</w:t>
      </w:r>
    </w:p>
    <w:p>
      <w:pPr>
        <w:pStyle w:val="Heading2"/>
        <w:rPr/>
      </w:pPr>
      <w:bookmarkStart w:id="6" w:name="__RefHeading___Toc31467_1660191972"/>
      <w:bookmarkStart w:id="7" w:name="X554414b903effe79dde369908a89d4745de64c1"/>
      <w:bookmarkEnd w:id="6"/>
      <w:r>
        <w:rPr/>
        <w:t>2.3 Versões normativas aplicadas ao exercício de 2025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Versão aplicada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Observação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Estrutura Conceitual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DOU 25/11/2015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Efeitos a partir de 01/01/2016 (NORMAS p. 24)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200, 210, 230, 300, 320, 330, 450, 500, 510, 560, 580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(R1), DOU 05/09/2016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220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(R3), DOU 09/12/2021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Períodos iniciados a partir de 01/01/2023 (NORMAS p. 93)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240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(R1)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(R2), DOU 25/09/2026, só se aplica a exercícios iniciados a partir de 01/01/2027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250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DOU 14/02/2019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260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(R2), DOU 04/07/2016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265, 402, 501, 505, 520, 530, 550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Versões de 2009 (Res. CFC 1.210 a 1.224/09)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315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(R2), DOU 02/09/2021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Períodos iniciados a partir de 01/01/2022 (NORMAS p. 256)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540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(R2), DOU 23/10/2019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Períodos iniciados a partir de 01/01/2020 (NORMAS p. 552)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570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Versão de 2016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(R1), DOU 25/09/2026, só se aplica a partir de 2027 (NORMAS p. 646)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600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(R2), DOU 06/12/2023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Períodos iniciados a partir de 01/01/2024 (NORMAS p. 688)</w:t>
            </w:r>
          </w:p>
        </w:tc>
      </w:tr>
    </w:tbl>
    <w:p>
      <w:pPr>
        <w:pStyle w:val="BodyText"/>
        <w:rPr/>
      </w:pPr>
      <w:bookmarkStart w:id="8" w:name="X554414b903effe79dde369908a89d4745de64c1"/>
      <w:r>
        <w:rPr/>
        <w:t>Fonte: lista oficial do CFC (acesso em 22/10/2026) e textos do consolidado. A vigência da NBC TA 240 (R2) e da NBC TA 570 (R1) (DOU 25/09/2026; auditorias de períodos iniciados em ou após 01/01/2027) foi reconfirmada no Bloco 12 em notícias do CRCSP e do Portal Contnews (FC31); o DOU não foi aberto diretamente. Comentários didáticos do consolidado (“Comentado […]”) não foram tratados como requisitos.</w:t>
      </w:r>
      <w:bookmarkEnd w:id="8"/>
    </w:p>
    <w:p>
      <w:pPr>
        <w:pStyle w:val="Heading2"/>
        <w:rPr/>
      </w:pPr>
      <w:bookmarkStart w:id="9" w:name="__RefHeading___Toc31469_1660191972"/>
      <w:bookmarkStart w:id="10" w:name="limitações-gerais"/>
      <w:bookmarkEnd w:id="9"/>
      <w:r>
        <w:rPr/>
        <w:t>2.4 Limitações gerais</w:t>
      </w:r>
    </w:p>
    <w:p>
      <w:pPr>
        <w:pStyle w:val="Compact"/>
        <w:numPr>
          <w:ilvl w:val="0"/>
          <w:numId w:val="111"/>
        </w:numPr>
        <w:rPr/>
      </w:pPr>
      <w:r>
        <w:rPr/>
        <w:t>Não há acesso a registros, sistemas, pessoas ou terceiros. Procedimentos que dependem disso são apenas planejados.</w:t>
      </w:r>
    </w:p>
    <w:p>
      <w:pPr>
        <w:pStyle w:val="Compact"/>
        <w:numPr>
          <w:ilvl w:val="0"/>
          <w:numId w:val="3"/>
        </w:numPr>
        <w:rPr/>
      </w:pPr>
      <w:r>
        <w:rPr/>
        <w:t>As demonstrações primárias da DF25 são imagens e foram transcritas visualmente. Os totais foram recalculados por fórmula: 4 erros de uma transcrição anterior foram corrigidos (Apêndice A).</w:t>
      </w:r>
    </w:p>
    <w:p>
      <w:pPr>
        <w:pStyle w:val="Compact"/>
        <w:numPr>
          <w:ilvl w:val="0"/>
          <w:numId w:val="3"/>
        </w:numPr>
        <w:rPr/>
      </w:pPr>
      <w:r>
        <w:rPr/>
        <w:t>Os Formulários de Referência 2025 e 2026 disponíveis estão truncados (DV15).</w:t>
      </w:r>
    </w:p>
    <w:p>
      <w:pPr>
        <w:pStyle w:val="Compact"/>
        <w:numPr>
          <w:ilvl w:val="0"/>
          <w:numId w:val="3"/>
        </w:numPr>
        <w:rPr/>
      </w:pPr>
      <w:r>
        <w:rPr/>
        <w:t>A conferência com a base de dados da CVM foi feita no Bloco 13 para balanço e DFC consolidados (seção 3.2: 182 valores, 0 diferenças sem explicação). A DRE da CVM não pôde ser lida; o LAIR confere pela DFC.</w:t>
      </w:r>
    </w:p>
    <w:p>
      <w:pPr>
        <w:pStyle w:val="Compact"/>
        <w:numPr>
          <w:ilvl w:val="0"/>
          <w:numId w:val="3"/>
        </w:numPr>
        <w:rPr/>
      </w:pPr>
      <w:bookmarkStart w:id="11" w:name="limitações-gerais"/>
      <w:r>
        <w:rPr/>
        <w:t>Os resultados sobre a base sintética não são constatações sobre a CPFL. A mesma IA desenhou os erros e os testes (PT 530): não há teste cego independente.</w:t>
      </w:r>
      <w:bookmarkEnd w:id="11"/>
    </w:p>
    <w:p>
      <w:pPr>
        <w:pStyle w:val="Heading2"/>
        <w:rPr/>
      </w:pPr>
      <w:bookmarkStart w:id="12" w:name="__RefHeading___Toc31471_1660191972"/>
      <w:bookmarkEnd w:id="12"/>
      <w:r>
        <w:rPr/>
        <w:t>2.5 Modelo de papel de trabalho</w:t>
      </w:r>
    </w:p>
    <w:p>
      <w:pPr>
        <w:pStyle w:val="FirstParagraph"/>
        <w:rPr/>
      </w:pPr>
      <w:r>
        <w:rPr/>
        <w:t>Todos os 27 PTs seguem o mesmo modelo, que atende aos 9 campos mínimos do enunciado e à NBC TA 230, itens 8 e 9 (NORMAS p. 133):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85"/>
        <w:gridCol w:w="4986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Cabeçalho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Versão, estado, perímetro e data de preparação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Código, título, norma (com revisão), itens e páginas no consolidado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Objetivo; conta, processo ou divulgação examinada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Afirmações e riscos (ligação à matriz R01–R19 do PT 315)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População, fontes e critério de seleção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Procedimentos, cada um com sua modalidade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Evidências e referências cruzadas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Resultados e exceções (fato documentado, hipótese e resultado sintético separados), conclusão, limitações e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 × orientação × julgamento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Preparador e data (preparação assistida por IA)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Revisão: revisões automatizadas identificadas (RV-B01 a RV-B12)</w:t>
            </w:r>
            <w:bookmarkStart w:id="13" w:name="modelo-de-papel-de-trabalho"/>
            <w:bookmarkEnd w:id="13"/>
          </w:p>
        </w:tc>
      </w:tr>
    </w:tbl>
    <w:p>
      <w:pPr>
        <w:pStyle w:val="Heading2"/>
        <w:rPr/>
      </w:pPr>
      <w:bookmarkStart w:id="14" w:name="__RefHeading___Toc31473_1660191972"/>
      <w:bookmarkEnd w:id="14"/>
      <w:r>
        <w:rPr/>
        <w:t>2.6 Referências cruzadas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Formato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Significado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Exemplo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34/2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Página física / página impressa da DF 2025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113/81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NORMAS p. n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Página do consolidado de normas do curso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530 item 15 (NORMAS p. 536)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→ 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PT 450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Remissão a outro papel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→ 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PT 540 seção 4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D-B04-01, PB09-01, DV21, FC30, RV12-03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Decisão, pendência, divergência, fonte e registro de revisão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R01–R19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Riscos da matriz do PT 315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R01 ativo financeiro da concessão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CVM 1.02.01.10.08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Conta da DFP nos dados abertos da CVM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</w:t>
            </w:r>
            <w:bookmarkStart w:id="15" w:name="metodologia-convenções-e-limitações"/>
            <w:bookmarkEnd w:id="15"/>
          </w:p>
        </w:tc>
      </w:tr>
    </w:tbl>
    <w:p>
      <w:pPr>
        <w:pStyle w:val="Heading1"/>
        <w:rPr/>
      </w:pPr>
      <w:r>
        <w:br w:type="page"/>
      </w:r>
      <w:bookmarkStart w:id="16" w:name="__RefHeading___Toc31475_1660191972"/>
      <w:bookmarkEnd w:id="16"/>
      <w:r>
        <w:rPr/>
        <w:t>3. Entendimento da entidade e dados reais</w:t>
      </w:r>
    </w:p>
    <w:p>
      <w:pPr>
        <w:pStyle w:val="Heading2"/>
        <w:rPr/>
      </w:pPr>
      <w:bookmarkStart w:id="17" w:name="__RefHeading___Toc31477_1660191972"/>
      <w:bookmarkEnd w:id="17"/>
      <w:r>
        <w:rPr/>
        <w:t>3.1 Identificação da companhia atribuída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Item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Dado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Razão social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ENERGIA S.A.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CVM, dfp_cia_aberta_2025.csv (DENOM_CIA); DF25 p. 1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CNPJ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02.429.144/0001-93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CVM (CNPJ_CIA); DF25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Código CVM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01866-0 (018660 nos dados abertos)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CVM (CD_CVM)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Negociação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CPFE3, segmento Novo Mercado da B3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FR 2025, item 1.1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Denominação anterior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“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Draft II” (FR 2025 v6, item 1.1; grafia completa no cadastro CVM pendente — PB02-02)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FR 2025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Documento examinado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DFP 2025, versão 1, documento 155108, recebido pela CVM em 05/03/2026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CVM (VERSAO, ID_DOC, DT_RECEB)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Relatório do auditor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PwC, Campinas, 04/03/2026, classificado como “Sem Ressalva”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CVM (dfp_cia_aberta_parecer_2025, TP_RELAT_AUD); DF25 p. 26–32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Governança que se manifestou sobre as DF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Comitê de Auditoria (relatório de 27/02/2026) e Conselho Fiscal (parecer de 27/02/2026)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CVM (dfp_cia_aberta_parecer_2025)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Aprovação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Autorização pela administração em 23/02/2026; aprovação pelo Conselho de Administração em 04/03/2026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nota 2.1, p. 45</w:t>
            </w:r>
            <w:bookmarkStart w:id="18" w:name="identificação-da-companhia-atribuída"/>
            <w:bookmarkEnd w:id="18"/>
          </w:p>
        </w:tc>
      </w:tr>
    </w:tbl>
    <w:p>
      <w:pPr>
        <w:pStyle w:val="Heading2"/>
        <w:rPr/>
      </w:pPr>
      <w:bookmarkStart w:id="19" w:name="__RefHeading___Toc31479_1660191972"/>
      <w:bookmarkEnd w:id="19"/>
      <w:r>
        <w:rPr/>
        <w:t>3.2 Conferência DF25 (PDF) × base de dados da CVM (Bloco 13)</w:t>
      </w:r>
    </w:p>
    <w:p>
      <w:pPr>
        <w:pStyle w:val="FirstParagraph"/>
        <w:rPr/>
      </w:pPr>
      <w:r>
        <w:rPr>
          <w:b/>
          <w:bCs/>
        </w:rPr>
        <w:t>Procedimento [Pub].</w:t>
      </w:r>
      <w:r>
        <w:rPr/>
        <w:t xml:space="preserve"> Os 182 valores transcritos do PDF para a planilha do Bloco 02 (balanço ativo, balanço passivo e DFC, 2025 e 2024, inclusive totais divulgados) foram comparados, por programa, com os arquivos consolidados da DFP 2025 na CVM (BPA_con, BPP_con e DFC_MI_con, escala MIL, ordem ÚLTIMO = 2025 e PENÚLTIMO = 2024). Script: b13_conferencia_cvm.py; resultado: CPFL_B13_Conferencia_PDF_CVM.xlsx.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01"/>
        <w:gridCol w:w="3068"/>
        <w:gridCol w:w="2301"/>
        <w:gridCol w:w="2301"/>
      </w:tblGrid>
      <w:tr>
        <w:trPr>
          <w:tblHeader w:val="true"/>
        </w:trPr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Classe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Quantidade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Itens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Tratamento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Idênticos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168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Conferido ⇄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Arredondamento ±1/±2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Outros ativos 2024; total do AC 2024; imobilizado 2025; intangível 2025; total do ANC 2024; total do PC 2025; reserva de lucros a realizar 2024; total do PL 2025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2.4 (DF25 p. 46): arredondamento após totalização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Agregação diferente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Outras contas a pagar circulante e não circulante 2024; PL dos controladores 2025 e 2024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PDF agrega contas que a CVM separa (por exemplo, obrigações sociais + uso do bem público + taxas regulamentares + outras contas a pagar = 2.984.241 ≈ 2.984.242); PL dos controladores = 2.03 − 2.03.09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Subtotal derivado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“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Caixa líquido gerado pelas operações” 2025 e 2024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= 6.01.01 + 6.01.02 da CVM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explicação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/>
        <w:t>Limitação: a DRE consolidada da CVM (6,4 MB) não pôde ser lida pelo conector; o LAIR (8.091.246 e 8.088.893) confere pela DFC da CVM (conta 6.01.01.01). Ativo total de 81.099.930 e ativo financeiro da concessão de 29.623.619 conferem com a CVM (contas 1 e 1.02.01.10.08).</w:t>
      </w:r>
    </w:p>
    <w:p>
      <w:pPr>
        <w:pStyle w:val="Heading2"/>
        <w:rPr/>
      </w:pPr>
      <w:bookmarkStart w:id="20" w:name="__RefHeading___Toc31481_1660191972"/>
      <w:bookmarkStart w:id="21" w:name="memorando-factual-da-entidade-bloco-02"/>
      <w:bookmarkEnd w:id="20"/>
      <w:r>
        <w:rPr/>
        <w:t>3.3 Memorando factual da entidade (Bloco 02)</w:t>
      </w:r>
    </w:p>
    <w:p>
      <w:pPr>
        <w:pStyle w:val="FirstParagraph"/>
        <w:rPr/>
      </w:pPr>
      <w:bookmarkStart w:id="22" w:name="memorando-factual-da-entidade-bloco-02"/>
      <w:r>
        <w:rPr/>
        <w:t>{memo}</w:t>
      </w:r>
      <w:bookmarkEnd w:id="22"/>
      <w:r>
        <w:br w:type="page"/>
      </w:r>
    </w:p>
    <w:p>
      <w:pPr>
        <w:pStyle w:val="Heading1"/>
        <w:rPr/>
      </w:pPr>
      <w:bookmarkStart w:id="23" w:name="__RefHeading___Toc31483_1660191972"/>
      <w:bookmarkStart w:id="24" w:name="X440e9197eea84ccd997969e7291d3aaf518a60e"/>
      <w:bookmarkEnd w:id="23"/>
      <w:r>
        <w:rPr/>
        <w:t>4. Situação dos papéis de trabalho nesta versão</w:t>
      </w:r>
    </w:p>
    <w:tbl>
      <w:tblPr>
        <w:tblStyle w:val="Table"/>
        <w:tblW w:w="79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 / tema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Bloco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Situação na v{VER}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EC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Estrutura Conceitual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B03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200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Objetivos gerais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B03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210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Termos do trabalho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B03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220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Gestão da qualidade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B03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230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Documentação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B03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240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Fraude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B04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250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Leis e regulamentos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B04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260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Comunicação com a governança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B11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265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Deficiências de controle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B11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300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Planejamento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B04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315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Identificação e avaliação dos riscos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B04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320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Materialidade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B04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330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Respostas aos riscos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B04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402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Organização prestadora de serviços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B05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450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Distorções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B08/B11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500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Evidência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B07/B11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501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Itens específicos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B10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505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Confirmações externas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B10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510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Saldos iniciais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B09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520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Procedimentos analíticos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B09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530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Amostragem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B08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540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Estimativas contábeis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B09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550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Partes relacionadas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B09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560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Eventos subsequentes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B10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570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Continuidade operacional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B10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580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Representações formais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B11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600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Auditoria de grupos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B05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Concluído</w:t>
            </w:r>
          </w:p>
        </w:tc>
      </w:tr>
    </w:tbl>
    <w:p>
      <w:pPr>
        <w:pStyle w:val="BodyText"/>
        <w:rPr/>
      </w:pPr>
      <w:bookmarkStart w:id="25" w:name="X440e9197eea84ccd997969e7291d3aaf518a60e"/>
      <w:r>
        <w:rPr/>
        <w:t>Programas por ciclo (PG-REC, PG-DISP, PG-EST, PG-IMOB, PG-PASS, PG-ESTIM) e programa de consolidação (PG-CONS, Bloco 13): seção 6. Matriz final de cobertura das 33 obrigações do enunciado: CPFL_B12_Revisao_Tecnica_Cobertura.xlsx (aba Matriz_Cobertura_Final).</w:t>
      </w:r>
      <w:bookmarkEnd w:id="25"/>
      <w:r>
        <w:br w:type="page"/>
      </w:r>
    </w:p>
    <w:p>
      <w:pPr>
        <w:pStyle w:val="Heading1"/>
        <w:rPr/>
      </w:pPr>
      <w:bookmarkStart w:id="26" w:name="__RefHeading___Toc31485_1660191972"/>
      <w:bookmarkEnd w:id="26"/>
      <w:r>
        <w:rPr/>
        <w:t>5. Papéis de trabalho</w:t>
      </w:r>
    </w:p>
    <w:p>
      <w:pPr>
        <w:pStyle w:val="Heading2"/>
        <w:rPr/>
      </w:pPr>
      <w:bookmarkStart w:id="27" w:name="__RefHeading___Toc31487_1660191972"/>
      <w:bookmarkEnd w:id="27"/>
      <w:r>
        <w:rPr/>
        <w:t>PT EC — Estrutura Conceitual — caracterização do trabalho de asseguração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EC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Estrutura Conceitual — caracterização do trabalho de asseguração. NBC TA Estrutura Conceitual para Trabalhos de Asseguração (DOU 25/11/2015; efeitos a partir de 01/01/2016 — NORMAS p. 24). Itens: 2, 10, 12–16, 26–27, 35, 39–49 (objeto e critérios), 50–82 (evidências), 83–92 (relatório).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Caracterizar o trabalho de auditoria das demonstrações contábeis consolidadas de 2025 da CPFL Energia S.A. como trabalho de asseguração razoável: partes, objeto, critérios, evidência e relatório. Diferenciá-lo de outros trabalhos de asseguração e de serviços correlatos. Deixar explícito o que este dossiê acadêmico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não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fornece.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Demonstrações contábeis individuais e consolidadas de 31/12/2025 (BP, DRE, DRA, DMPL, DFC, DVA e notas) — DF25 p. 33–115.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Não se aplicam afirmações por conta neste PT, que trata do enquadramento do trabalho. Risco tratado: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risco de caracterização indevida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, ou seja, apresentar este exercício acadêmico como se fornecesse asseguração. Resposta: avisos em todos os PTs e na conclusão.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Fontes: (1) NORMAS, Estrutura Conceitual, p. 3–28; (2) DF25 p. 26–32 (relatório do auditor 2025) e p. 45 (nota 2.1); (3) ITR3T25 p. 14–15 (relatório de revisão do 3T25). Seleção: todas as fontes que caracterizam o trabalho real e um exemplo real de trabalho diferente (revisão de ITR).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EC-01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as três partes do trabalho (EC item 27) para a auditoria de 2025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EC-02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objeto e critérios aplicáveis (EC itens 39–49) a partir da nota 2 da DF25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EC-03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Classificar o nível de asseguração (EC itens 14–15) do relatório de 2025 e de um relatório de revisão real (ITR 3T25)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EC-04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Montar quadro comparativo: auditoria × revisão × outros trabalhos de asseguração × serviços correlatos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(exemplos não CPFL rotulados como genéricos)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EC-05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o que este dossiê entrega e o que não entrega (nível de asseguração = nenhum)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Elementos do trabalho real (auditoria 2025)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Elemento (EC item 26)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Auditoria das DF 2025 da CPFL Energia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Auditor independente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PricewaterhouseCoopers Auditores Independentes Ltda. (CRC 2SP027613/F-1)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26 e 32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Parte responsável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Administração da CPFL Energia (DF autorizadas em 23/02/2026) e Conselho de Administração (aprovação em 04/03/2026)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45/13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Usuários previstos (EC item 35)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Acionistas — o controlador State Grid Brazil Power e os minoritários do Novo Mercado (CPFE3) —, credores de debêntures e empréstimos, CVM e mercado. A ANEEL usa as demonstrações regulatórias, que são outro objeto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Relatório endereçado “Aos Administradores e Acionistas” (DF25 p. 26); FR 2025 v6 item 1.1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Objeto (itens 39–41)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Posição patrimonial e financeira em 31/12/2025, desempenho e fluxos de caixa de 2025 (individual e consolidado)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26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Critérios (itens 42–49)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Práticas contábeis adotadas no Brasil (CPC/CVM) e IFRS do IASB; orientações do MCSE/ANEEL quando aplicáveis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45/13 (nota 2.1)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Evidência (itens 50–82)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Apropriada e suficiente, obtida pela firma (procedimentos descritos nos PAA)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27–29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Relatório (itens 83–92)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Opinião sem modificação, em forma positiva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26</w:t>
            </w:r>
          </w:p>
        </w:tc>
      </w:tr>
    </w:tbl>
    <w:p>
      <w:pPr>
        <w:pStyle w:val="BodyText"/>
        <w:rPr/>
      </w:pPr>
      <w:r>
        <w:rPr>
          <w:b/>
          <w:bCs/>
        </w:rPr>
        <w:t>2. Nível de asseguração: comparação com casos reais da própria CPFL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Aspecto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Auditoria anual 2025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do ITR 3T25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(relatório cita normas brasileiras e internacionais de auditoria)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TR 2410 / ISRE 2410 (ITR3T25 p. 14)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Nível (EC 14–15)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Asseguração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razoável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risco reduzido a nível aceitavelmente baixo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Asseguração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limitada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risco maior que na auditoria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 de riscos, testes de controles e substantivos (DF25 p. 27–29)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Principalmente indagações e procedimentos analíticos (ITR3T25 p. 14)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Forma da conclusão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Positiva (“apresentam adequadamente…”, DF25 p. 26)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Negativa (“não temos conhecimento de nenhum fato…”, ITR3T25 p. 15)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04/03/2026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05/11/2025</w:t>
            </w:r>
          </w:p>
        </w:tc>
      </w:tr>
    </w:tbl>
    <w:p>
      <w:pPr>
        <w:pStyle w:val="BodyText"/>
        <w:rPr/>
      </w:pPr>
      <w:r>
        <w:rPr>
          <w:b/>
          <w:bCs/>
        </w:rPr>
        <w:t>3. Outros trabalhos (para diferenciação)</w:t>
      </w:r>
    </w:p>
    <w:p>
      <w:pPr>
        <w:pStyle w:val="Compact"/>
        <w:numPr>
          <w:ilvl w:val="0"/>
          <w:numId w:val="112"/>
        </w:numPr>
        <w:rPr/>
      </w:pPr>
      <w:r>
        <w:rPr>
          <w:i/>
          <w:iCs/>
        </w:rPr>
        <w:t>Outros trabalhos de asseguração</w:t>
      </w:r>
      <w:r>
        <w:rPr/>
        <w:t xml:space="preserve"> (EC itens 12–13). São trabalhos de atestação ou diretos sobre objetos diferentes de DF históricas, como informações de sustentabilidade ou controles. Os exemplos são genéricos: não foi verificado se a CPFL contratou trabalhos desse tipo.</w:t>
      </w:r>
    </w:p>
    <w:p>
      <w:pPr>
        <w:pStyle w:val="Compact"/>
        <w:numPr>
          <w:ilvl w:val="0"/>
          <w:numId w:val="113"/>
        </w:numPr>
        <w:rPr/>
      </w:pPr>
      <w:r>
        <w:rPr>
          <w:i/>
          <w:iCs/>
        </w:rPr>
        <w:t>Serviços correlatos sem asseguração</w:t>
      </w:r>
      <w:r>
        <w:rPr/>
        <w:t>. Exemplos: procedimentos previamente acordados e carta-conforto em oferta de valores mobiliários (CTA 23, listado pelo CFC). Não expressam conclusão de asseguração. O EC item 25 veda trocar um trabalho de asseguração por outro sem asseguração sem justificativa razoável.</w:t>
      </w:r>
    </w:p>
    <w:p>
      <w:pPr>
        <w:pStyle w:val="Compact"/>
        <w:numPr>
          <w:ilvl w:val="0"/>
          <w:numId w:val="114"/>
        </w:numPr>
        <w:rPr/>
      </w:pPr>
      <w:r>
        <w:rPr/>
        <w:t xml:space="preserve">A Estrutura Conceitual </w:t>
      </w:r>
      <w:r>
        <w:rPr>
          <w:b/>
          <w:bCs/>
        </w:rPr>
        <w:t>não é norma</w:t>
      </w:r>
      <w:r>
        <w:rPr/>
        <w:t xml:space="preserve"> e não cria requisitos (EC item 2). Ela orienta a leitura das NBC TA 200–600.</w:t>
      </w:r>
    </w:p>
    <w:p>
      <w:pPr>
        <w:pStyle w:val="FirstParagraph"/>
        <w:rPr/>
      </w:pPr>
      <w:r>
        <w:rPr>
          <w:b/>
          <w:bCs/>
        </w:rPr>
        <w:t>4. O que este dossiê fornece</w:t>
      </w:r>
    </w:p>
    <w:p>
      <w:pPr>
        <w:pStyle w:val="BodyText"/>
        <w:rPr/>
      </w:pPr>
      <w:r>
        <w:rPr/>
        <w:t xml:space="preserve">Este trabalho tem nível de asseguração </w:t>
      </w:r>
      <w:r>
        <w:rPr>
          <w:b/>
          <w:bCs/>
        </w:rPr>
        <w:t>nenhum</w:t>
      </w:r>
      <w:r>
        <w:rPr/>
        <w:t>. Ele aplica a metodologia das NBC TA a documentos públicos e a dados sintéticos, para fins de aprendizagem. Faltam três condições de um trabalho de asseguração: contratação pela parte responsável, acesso a registros (NBC TA 210 item 6(b)(iii)) e independência verificada por uma firma. Por isso, nenhuma conclusão aqui deve ser lida como opinião ou conclusão de auditor.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26–32, 45; ITR3T25 p. 14–15; NORMAS (EC) p. 3–28. Referências cruzadas: PT 200 (segurança razoável), PT 210 (precondições), PT 260 (usuários e governança), PT 600 (perímetro do grupo).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exceções. O trabalho real é de asseguração razoável, com conclusão positiva e sem modificação. A revisão de ITR é de asseguração limitada (contraste documentado com fontes reais).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auditoria das DF 2025 da CPFL tem os cinco elementos da EC e corresponde a asseguração razoável. Este dossiê reproduz a metodologia, mas não fornece asseguração.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lista de usuários é inferida do destinatário do relatório e do perfil acionário. A existência de trabalhos de asseguração não financeira contratados pela CPFL não foi verificada. O consolidado de normas contém comentários didáticos (‘Comentado [LF…]’) que não foram tratados como requisitos.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Elementos de um trabalho de asseguração e distinção entre asseguração razoável e limitada (EC itens 12–16 e 26–27).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Exemplos de trabalhos e de objetos (EC, texto explicativo).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Tratar o dossiê como exercício sem asseguração; usar a auditoria real só como referência de forma.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  <w:bookmarkStart w:id="28" w:name="Xa865ed817ea9dbd143aab49fea1658276d75334"/>
            <w:bookmarkEnd w:id="28"/>
          </w:p>
        </w:tc>
      </w:tr>
    </w:tbl>
    <w:p>
      <w:pPr>
        <w:pStyle w:val="Heading2"/>
        <w:rPr/>
      </w:pPr>
      <w:bookmarkStart w:id="29" w:name="__RefHeading___Toc31489_1660191972"/>
      <w:bookmarkEnd w:id="29"/>
      <w:r>
        <w:rPr/>
        <w:t>PT 200 — Objetivos gerais do auditor, ética, ceticismo, julgamento e risco de auditoria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200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Objetivos gerais do auditor, ética, ceticismo, julgamento e risco de auditoria. NBC TA 200 (R1) (DOU 05/09/2016; NORMAS p. 29–56). Itens: 3, 5, 11, 13 (definições, inclusive risco de auditoria e risco de detecção), 14 (ética e independência), 15 (ceticismo), 16 (julgamento), 17 (evidência e risco de auditoria), A14–A52.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Documentar como os objetivos gerais do auditor (item 11) se aplicam a uma auditoria das DF consolidadas 2025 da CPFL. Mostrar ceticismo e julgamento aplicados neste trabalho, com exemplos concretos, e as condições, ausentes aqui, para obter segurança razoável.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Demonstrações contábeis consolidadas 2025 como um todo.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Riscos gerais identificados nas fontes: (R-G1) estimativas complexas — ativo financeiro da concessão (VNR), ativo contratual e receita não faturada (PAA, DF25 p. 27–29); (R-G2) julgamento sobre bifurcação de ativos da concessão (DF25 p. 29); (R-G3) dependência de dados de TI na receita não faturada (DF25 p. 28). O detalhamento por afirmação será feito no PT 315.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NORMAS p. 29–56; DF25 p. 26–36, 68; controles do projeto (CPFL_B01_Controles_Execucao.xlsx, abas Divergencias e Conferencia_DF25).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Mapear os objetivos do item 11 para o caso CPFL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Registrar exigências éticas e de independência (item 14) e o que se pode verificar publicamente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Documentar aplicações reais de ceticismo neste trabalho (item 15)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Documentar julgamentos significativos já feitos (item 16)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Decompor o risco de auditoria (itens 13 e 17) para as áreas mais relevantes, de forma qualitativa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 (risco de controle não testável)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Obter declaração de independência do preparador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complementado por autodeclaração do aluno (22/10/2026)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Objetivos gerais (item 11) aplicados</w:t>
      </w:r>
    </w:p>
    <w:p>
      <w:pPr>
        <w:pStyle w:val="Compact"/>
        <w:numPr>
          <w:ilvl w:val="0"/>
          <w:numId w:val="115"/>
        </w:numPr>
        <w:rPr/>
      </w:pPr>
      <w:r>
        <w:rPr/>
        <w:t>Obter segurança razoável de que as DF consolidadas estão livres de distorção relevante, por fraude ou erro. A base de mensuração é a materialidade do PT 320, sobre lucro antes dos tributos de R$ 8.091.246 mil (DF25 p. 36/4).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Emitir relatório conforme as constatações. </w:t>
      </w:r>
      <w:r>
        <w:rPr>
          <w:b/>
          <w:bCs/>
        </w:rPr>
        <w:t>No dossiê, não há emissão de opinião</w:t>
      </w:r>
      <w:r>
        <w:rPr/>
        <w:t xml:space="preserve"> (PT EC, seção 4).</w:t>
      </w:r>
    </w:p>
    <w:p>
      <w:pPr>
        <w:pStyle w:val="FirstParagraph"/>
        <w:rPr/>
      </w:pPr>
      <w:r>
        <w:rPr>
          <w:b/>
          <w:bCs/>
        </w:rPr>
        <w:t>2. Ética e independência (item 14)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Aspecto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Trabalho real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Este dossiê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Declaração de independência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PwC declara-se independente segundo o Código de Ética Profissional do Contador e as normas do CFC para entidades de interesse público (DF25 p. 26)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Declaração do preparador (22/10/2026): não possui nenhum vínculo com o Grupo CPFL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, inclusive ações CPFE3, emprego, parentesco ou prestação de serviços. Trata-se de autodeclaração, não verificada externamente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Confidencialidade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Aplicável a informações do cliente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Só há dados públicos e sintéticos. Nada confidencial foi usado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Comunicação externa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 contato com a companhia, auditores ou terceiros (enunciado, seção 1)</w:t>
            </w:r>
          </w:p>
        </w:tc>
      </w:tr>
    </w:tbl>
    <w:p>
      <w:pPr>
        <w:pStyle w:val="BodyText"/>
        <w:rPr/>
      </w:pPr>
      <w:r>
        <w:rPr>
          <w:b/>
          <w:bCs/>
        </w:rPr>
        <w:t>3. Ceticismo profissional (item 15): exemplos reais neste trabalho</w:t>
      </w:r>
    </w:p>
    <w:p>
      <w:pPr>
        <w:pStyle w:val="Compact"/>
        <w:numPr>
          <w:ilvl w:val="0"/>
          <w:numId w:val="116"/>
        </w:numPr>
        <w:rPr/>
      </w:pPr>
      <w:r>
        <w:rPr/>
        <w:t xml:space="preserve">Os valores do controle do projeto (fonte secundária) foram reconferidos na imagem do balanço. Foram achados </w:t>
      </w:r>
      <w:r>
        <w:rPr>
          <w:b/>
          <w:bCs/>
        </w:rPr>
        <w:t>4 erros de transcrição</w:t>
      </w:r>
      <w:r>
        <w:rPr/>
        <w:t>: DV01 (129.659), DV11 (715.764), DV12 (985.664) e DV13 (10.778.490), todos na DF25 p. 34–36.</w:t>
      </w:r>
    </w:p>
    <w:p>
      <w:pPr>
        <w:pStyle w:val="Compact"/>
        <w:numPr>
          <w:ilvl w:val="0"/>
          <w:numId w:val="117"/>
        </w:numPr>
        <w:rPr/>
      </w:pPr>
      <w:r>
        <w:rPr/>
        <w:t>Os arquivos-fonte não foram aceitos só por estarem legíveis. O FR 2025, o FR 2026 e o ITR 2T25 têm tamanhos exatos de 16 MiB e 8 MiB. O texto do FR 2025 termina no item 2.1, o que indica corte (DV15).</w:t>
      </w:r>
    </w:p>
    <w:p>
      <w:pPr>
        <w:pStyle w:val="Compact"/>
        <w:numPr>
          <w:ilvl w:val="0"/>
          <w:numId w:val="118"/>
        </w:numPr>
        <w:rPr/>
      </w:pPr>
      <w:r>
        <w:rPr/>
        <w:t>A versão das normas não foi presumida. A NBC TA 240 (R2) e a NBC TA 570 (R1), publicadas em 2026, foram afastadas para 2025 (DV09).</w:t>
      </w:r>
    </w:p>
    <w:p>
      <w:pPr>
        <w:pStyle w:val="Compact"/>
        <w:numPr>
          <w:ilvl w:val="0"/>
          <w:numId w:val="119"/>
        </w:numPr>
        <w:rPr/>
      </w:pPr>
      <w:r>
        <w:rPr/>
        <w:t>A conciliação aritmética da base sintética não é tratada como prova de valor justo (VNR).</w:t>
      </w:r>
    </w:p>
    <w:p>
      <w:pPr>
        <w:pStyle w:val="FirstParagraph"/>
        <w:rPr/>
      </w:pPr>
      <w:r>
        <w:rPr>
          <w:b/>
          <w:bCs/>
        </w:rPr>
        <w:t>4. Julgamentos significativos já feitos (item 16)</w:t>
      </w:r>
    </w:p>
    <w:p>
      <w:pPr>
        <w:pStyle w:val="BodyText"/>
        <w:rPr/>
      </w:pPr>
      <w:r>
        <w:rPr/>
        <w:t>Os julgamentos registrados até aqui são:</w:t>
      </w:r>
    </w:p>
    <w:p>
      <w:pPr>
        <w:pStyle w:val="Compact"/>
        <w:numPr>
          <w:ilvl w:val="0"/>
          <w:numId w:val="120"/>
        </w:numPr>
        <w:rPr/>
      </w:pPr>
      <w:r>
        <w:rPr/>
        <w:t>perímetro consolidado (D-B01-01);</w:t>
      </w:r>
    </w:p>
    <w:p>
      <w:pPr>
        <w:pStyle w:val="Compact"/>
        <w:numPr>
          <w:ilvl w:val="0"/>
          <w:numId w:val="121"/>
        </w:numPr>
        <w:rPr/>
      </w:pPr>
      <w:r>
        <w:rPr/>
        <w:t>conta da base: ativo financeiro da concessão, 36,5% do ativo (DF25 p. 34/2);</w:t>
      </w:r>
    </w:p>
    <w:p>
      <w:pPr>
        <w:pStyle w:val="Compact"/>
        <w:numPr>
          <w:ilvl w:val="0"/>
          <w:numId w:val="122"/>
        </w:numPr>
        <w:rPr/>
      </w:pPr>
      <w:r>
        <w:rPr/>
        <w:t>base de entrega reproduzida pelo gerador (D-B01-03);</w:t>
      </w:r>
    </w:p>
    <w:p>
      <w:pPr>
        <w:pStyle w:val="Compact"/>
        <w:numPr>
          <w:ilvl w:val="0"/>
          <w:numId w:val="123"/>
        </w:numPr>
        <w:rPr/>
      </w:pPr>
      <w:r>
        <w:rPr/>
        <w:t>versões normativas (D-B01-02).</w:t>
      </w:r>
    </w:p>
    <w:p>
      <w:pPr>
        <w:pStyle w:val="FirstParagraph"/>
        <w:rPr/>
      </w:pPr>
      <w:r>
        <w:rPr/>
        <w:t>Cada julgamento tem fundamento registrado em DECISOES.md.</w:t>
      </w:r>
    </w:p>
    <w:p>
      <w:pPr>
        <w:pStyle w:val="BodyText"/>
        <w:rPr/>
      </w:pPr>
      <w:r>
        <w:rPr>
          <w:b/>
          <w:bCs/>
        </w:rPr>
        <w:t>5. Risco de auditoria (itens 13 e 17): leitura qualitativa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94"/>
        <w:gridCol w:w="1994"/>
        <w:gridCol w:w="1995"/>
        <w:gridCol w:w="1994"/>
        <w:gridCol w:w="1995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Área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inerente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de controle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de detecção requerido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 (VNR)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Alto (estimativa, julgamento, PAA 3)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avaliável: sem acesso; assumido alto para fins didáticos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Baixo: exige substantivos extensos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29, 68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 não faturada (R$ 1.763.858 mil)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Alto (dados de TI, perdas técnicas e comerciais)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avaliável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Baixo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28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contratual (transmissão)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Alto (taxa de desconto, margens)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avaliável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Baixo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27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Caixa e equivalentes (R$ 2.229.320 mil)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Baixo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avaliável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</w:t>
            </w:r>
          </w:p>
        </w:tc>
      </w:tr>
    </w:tbl>
    <w:p>
      <w:pPr>
        <w:pStyle w:val="BodyText"/>
        <w:rPr/>
      </w:pPr>
      <w:r>
        <w:rPr/>
        <w:t>A avaliação final de risco inerente e de controle, com o espectro de risco da NBC TA 315 (R2), fica no PT 315.</w:t>
      </w:r>
    </w:p>
    <w:p>
      <w:pPr>
        <w:pStyle w:val="BodyText"/>
        <w:rPr/>
      </w:pPr>
      <w:r>
        <w:rPr>
          <w:b/>
          <w:bCs/>
        </w:rPr>
        <w:t>6. Condições para segurança razoável e limitações inerentes (item 5)</w:t>
      </w:r>
    </w:p>
    <w:p>
      <w:pPr>
        <w:pStyle w:val="BodyText"/>
        <w:rPr/>
      </w:pPr>
      <w:r>
        <w:rPr/>
        <w:t>Uma auditoria real exige acesso a registros e pessoas, teste de controles e evidência externa (confirmações). Nada disso existe aqui. A evidência disponível é pública, majoritariamente documental de origem da própria entidade, e persuasiva, não conclusiva (item 5).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NORMAS p. 29–56; DF25 p. 26–29, 34–36, 68; Controles B01 (abas Divergencias, Mapa_Normativo); DECISOES.md. Referências cruzadas: PT 315 (riscos), PT 320 (materialidade), PT 220 (qualidade), PT 230 (registro de divergências).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Quatro erros de transcrição em fonte secundária, todos corrigidos. Arquivos-fonte com indício de truncamento: 3. O preparador declarou não ter vínculo com o Grupo CPFL (22/10/2026).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Os objetivos gerais e os princípios do item 14–17 foram aplicados ao caso e documentados com exemplos verificáveis. Não há condições para segurança razoável neste trabalho, que é exercício acadêmico.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risco de controle não foi avaliado (sem acesso). A independência baseia-se em autodeclaração. A classificação de risco é preliminar até o PT 315.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Cumprir exigências éticas, ceticismo, julgamento, evidência apropriada e suficiente e todas as NBC TA relevantes (itens 14–24).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A20–A76 (riscos inerentes, limitações inerentes, papel do julgamento).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Independência apoiada em autodeclaração do aluno (D-B05-02); classificação preliminar de riscos.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30" w:name="__RefHeading___Toc31491_1660191972"/>
      <w:bookmarkEnd w:id="30"/>
      <w:r>
        <w:rPr/>
        <w:t>PT 210 — Concordância com os termos do trabalho — precondições e carta de contratação didática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210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Concordância com os termos do trabalho — precondições e carta de contratação didática. NBC TA 210 (R1) (DOU 05/09/2016; NORMAS p. 57–88). Itens: 6 (condições prévias: estrutura aceitável e responsabilidades da administração), 7–8 (limitação de alcance; ausência de condições prévias), 9–10 (termos e conteúdo mínimo da carta), 13 (auditoria recorrente), A2–A27.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Avaliar, com informação pública, se as precondições de uma auditoria das DF 2025 da CPFL estariam presentes, e redigir uma minuta didática de carta de contratação com o conteúdo do item 10.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Contratação da auditoria das DF individuais e consolidadas de 2025.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Riscos: (R-210-1) estrutura de relatório inaceitável → baixo (CPC/IFRS aprovados pela CVM); (R-210-2) administração não reconhecer responsabilidades → sem indício (DF assinadas pela diretoria e pelo contador, DF25 p. 115); (R-210-3) limitação de acesso →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presente neste dossiê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, pois o aluno não tem acesso.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26, 45–46, 115; NORMAS p. 57–88.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a aceitabilidade da estrutura (item 6(a)) com base na nota 2.1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Verificar indícios públicos do reconhecimento de responsabilidades pela administração (item 6(b))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Obter carta de contratação assinada e concordância da administração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 (não executável — não haverá envio)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Redigir minuta didática com o conteúdo do item 10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 (documento-modelo, não enviado)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Precondições (item 6)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Requisito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Evidência pública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(a) Estrutura aceitável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elaboradas conforme práticas contábeis adotadas no Brasil (CPC aprovados pela CVM) e IFRS do IASB (DF25 p. 45/13). Estrutura de propósito geral, exigida para companhia aberta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Aceitável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(b)(i) Responsabilidade pela elaboração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aprovadas pelo Conselho de Administração em 04/03/2026 e assinadas pela diretoria e pelo contador responsável (DF25 p. 45 e 115)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Indício favorável. Confirmação formal depende da carta (210-03)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(b)(ii) Controle interno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Relatório da PwC descreve avaliação de controles (DF25 p. 27–29)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Indício de existência; eficácia não verificável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(b)(iii) Acesso a informações e pessoas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Inexistente para o aluno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Precondição não atendida neste dossiê.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Em trabalho real, impediria a aceitação (itens 7–8)</w:t>
            </w:r>
          </w:p>
        </w:tc>
      </w:tr>
    </w:tbl>
    <w:p>
      <w:pPr>
        <w:pStyle w:val="BodyText"/>
        <w:rPr/>
      </w:pPr>
      <w:r>
        <w:rPr>
          <w:b/>
          <w:bCs/>
        </w:rPr>
        <w:t>2. Auditoria recorrente (item 13)</w:t>
      </w:r>
    </w:p>
    <w:p>
      <w:pPr>
        <w:pStyle w:val="BodyText"/>
        <w:rPr/>
      </w:pPr>
      <w:r>
        <w:rPr/>
        <w:t xml:space="preserve">A PwC já revisava os ITR de 2025 (ITR3T25 p. 14–15), o que indica relação recorrente. Para este dossiê, o caso é tratado como </w:t>
      </w:r>
      <w:r>
        <w:rPr>
          <w:b/>
          <w:bCs/>
        </w:rPr>
        <w:t>auditoria inicial didática</w:t>
      </w:r>
      <w:r>
        <w:rPr/>
        <w:t xml:space="preserve"> (PT 510), conforme o enunciado.</w:t>
      </w:r>
    </w:p>
    <w:p>
      <w:pPr>
        <w:pStyle w:val="BodyText"/>
        <w:rPr/>
      </w:pPr>
      <w:r>
        <w:rPr>
          <w:b/>
          <w:bCs/>
        </w:rPr>
        <w:t>3. Minuta didática de carta de contratação</w:t>
      </w:r>
    </w:p>
    <w:p>
      <w:pPr>
        <w:pStyle w:val="BlockText"/>
        <w:rPr/>
      </w:pPr>
      <w:r>
        <w:rPr>
          <w:b/>
          <w:bCs/>
        </w:rPr>
        <w:t>MINUTA DIDÁTICA — NÃO ENVIADA — SEM ASSINATURAS — PREPARADA PARA FINS ACADÊMICOS (UnB, Auditoria 1)</w:t>
      </w:r>
    </w:p>
    <w:p>
      <w:pPr>
        <w:pStyle w:val="BlockText"/>
        <w:rPr/>
      </w:pPr>
      <w:r>
        <w:rPr/>
        <w:t>Aos Administradores e ao Conselho de Administração da CPFL Energia S.A.</w:t>
      </w:r>
    </w:p>
    <w:p>
      <w:pPr>
        <w:pStyle w:val="BlockText"/>
        <w:rPr/>
      </w:pPr>
      <w:r>
        <w:rPr>
          <w:b/>
          <w:bCs/>
        </w:rPr>
        <w:t>Objetivo e alcance (item 10(a)).</w:t>
      </w:r>
      <w:r>
        <w:rPr/>
        <w:t xml:space="preserve"> Auditoria das demonstrações contábeis individuais e consolidadas de 31/12/2025, conforme as normas brasileiras e internacionais de auditoria. O objetivo é expressar opinião sobre se elas apresentam adequadamente, em todos os aspectos relevantes, a posição patrimonial e financeira, o desempenho e os fluxos de caixa.</w:t>
      </w:r>
    </w:p>
    <w:p>
      <w:pPr>
        <w:pStyle w:val="BlockText"/>
        <w:rPr/>
      </w:pPr>
      <w:r>
        <w:rPr>
          <w:b/>
          <w:bCs/>
        </w:rPr>
        <w:t>Responsabilidades do auditor (item 10(b)).</w:t>
      </w:r>
      <w:r>
        <w:rPr/>
        <w:t xml:space="preserve"> Obter segurança razoável, não absoluta, de que as demonstrações estão livres de distorção relevante, por fraude ou erro. Planejar e executar a auditoria com ceticismo e julgamento profissional. Comunicar à governança os assuntos exigidos pela NBC TA 260 e deficiências significativas (NBC TA 265). Existe risco inevitável de que distorções relevantes não sejam detectadas, por causa das limitações inerentes.</w:t>
      </w:r>
    </w:p>
    <w:p>
      <w:pPr>
        <w:pStyle w:val="BlockText"/>
        <w:rPr/>
      </w:pPr>
      <w:r>
        <w:rPr>
          <w:b/>
          <w:bCs/>
        </w:rPr>
        <w:t>Responsabilidades da administração (item 10(c)).</w:t>
      </w:r>
      <w:r>
        <w:rPr/>
        <w:t xml:space="preserve"> Elaborar as demonstrações conforme as práticas contábeis adotadas no Brasil e as IFRS. Manter o controle interno necessário. Dar acesso irrestrito a registros, documentação e pessoas, e fornecer representações formais por escrito (NBC TA 580).</w:t>
      </w:r>
    </w:p>
    <w:p>
      <w:pPr>
        <w:pStyle w:val="BlockText"/>
        <w:rPr/>
      </w:pPr>
      <w:r>
        <w:rPr>
          <w:b/>
          <w:bCs/>
        </w:rPr>
        <w:t>Estrutura aplicável (item 10(d)).</w:t>
      </w:r>
      <w:r>
        <w:rPr/>
        <w:t xml:space="preserve"> Práticas contábeis adotadas no Brasil (CPC/CVM) e IFRS emitidas pelo IASB.</w:t>
      </w:r>
    </w:p>
    <w:p>
      <w:pPr>
        <w:pStyle w:val="BlockText"/>
        <w:rPr/>
      </w:pPr>
      <w:r>
        <w:rPr>
          <w:b/>
          <w:bCs/>
        </w:rPr>
        <w:t>Forma e conteúdo esperados do relatório (item 10(e)).</w:t>
      </w:r>
      <w:r>
        <w:rPr/>
        <w:t xml:space="preserve"> Relatório do auditor independente com opinião e base para opinião, seção de Principais Assuntos de Auditoria (companhia listada) e responsabilidades. A forma e o conteúdo podem mudar conforme as constatações.</w:t>
      </w:r>
    </w:p>
    <w:p>
      <w:pPr>
        <w:pStyle w:val="BlockText"/>
        <w:rPr/>
      </w:pPr>
      <w:r>
        <w:rPr/>
        <w:t>Local/data: ____ · Auditor: ____ · Administração: ____ (campos deliberadamente em branco)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26–29, 45, 115; ITR3T25 p. 14–15; NORMAS p. 57–88. Referências cruzadas: PT EC (partes), PT 260, PT 265, PT 510 (auditoria inicial), PT 580 (representações).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 precondições (a), (b)(i) e (b)(ii) têm indícios favoráveis em fontes públicas. A precondição (b)(iii), acesso, não é atendida no contexto acadêmico.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Em um trabalho real, as precondições pareceriam atendidas, sujeitas à confirmação formal. Neste dossiê, a ausência de acesso é a limitação estrutural que leva vários procedimentos à modalidade ‘planejado’.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houve contato nem obtenção de concordância. A minuta é modelo didático. Honorários, prazos e equipe não foram definidos porque não há contratação real.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Verificar estrutura de relatório aceitável e reconhecimento das responsabilidades da administração (item 6) e formalizar os termos (itens 9–12).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Exemplo de carta de contratação do apêndice (forma, não conteúdo obrigatório).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Minuta de termos só didática; falta de acesso tratada como limitação estrutural, não como recusa da administração.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31" w:name="__RefHeading___Toc31493_1660191972"/>
      <w:bookmarkEnd w:id="31"/>
      <w:r>
        <w:rPr/>
        <w:t>PT 220 — Gestão da qualidade no nível do trabalho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220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Gestão da qualidade no nível do trabalho. NBC TA 220 (R3) (DOU 09/12/2021; aplicável a períodos iniciados a partir de 01/01/2023 — item 10, NORMAS p. 93). Itens: 11 (objetivo), 13 (responsabilidade do sócio), 16–21 (ética), 22–24 (aceitação), 25–28 (recursos), 29–34 (direção, supervisão e revisão), 35 (consulta), 36 (revisão de qualidade do trabalho), 37–38 (diferenças de opinião), 39 (monitoramento), 40 (responsabilidade geral), 41 (documentação).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Planejar a gestão da qualidade deste trabalho: direção, supervisão, revisão, consultas e recursos. Identificar conflitos e riscos à qualidade, distinguindo a estrutura de uma firma real da estrutura efetivamente disponível neste trabalho individual.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Processo de elaboração do dossiê (todos os PTs).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Riscos à qualidade identificados (ver matriz abaixo). São riscos do processo do trabalho, não afirmações de DF.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NORMAS p. 89–130; controles do projeto (ESTADO_DO_PROJETO.md, DECISOES.md, PENDENCIAS.md, aba Divergencias).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papéis: ‘sócio do trabalho’ = aluno; equipe = aluno + ferramenta de IA como recurso tecnológico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Montar matriz de riscos à qualidade e respostas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Executar revisão automatizada por bloco e revisão técnica transversal (Bloco 12)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revisões automatizadas RV-B01 a RV-B12 registradas (seção 3–5)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Registrar validações do aluno sobre decisões materiais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D-B01-02 e D-B01-03 validadas em 22/10/2026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de qualidade do trabalho (item 36) por revisor independente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acesso: trabalho individual, sem revisor de qualidade designado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Consultas (item 35) ao professor sobre dúvidas de escopo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 — consulta opcional ao professor não realizada (PB03-02)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Estrutura: firma real × este trabalho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Elemento (NBC TA 220 R3)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Firma de auditoria real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Este dossiê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Sócio do trabalho (item 13)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Sócio responsável, com a liderança da qualidade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Aluno (matrícula 231020069) assume a responsabilidade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Equipe e recursos (itens 25–28)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Equipe multidisciplinar, especialistas de TI e avaliação (a PwC usou especialistas de TI, DF25 p. 28)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Aluno + IA como recurso tecnológico.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Sem especialista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em avaliação de VNR nem em TI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Direção, supervisão e revisão (itens 29–34)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hierárquica dos papéis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ao fim de cada bloco + validação do aluno nas decisões materiais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Consulta (item 35)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Departamento técnico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Professor da disciplina (planejado)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de qualidade (item 36)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Revisor de qualidade designado pela firma, normalmente exigido para companhias listadas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Inexistente.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Não será simulada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Diferenças de opinião (37–38)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Políticas da firma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Registro em DECISOES.md; prevalece o enunciado do professor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Monitoramento (item 39)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Sistema de gestão da qualidade da firma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aplicável a trabalho individual. Analisado e documentado aqui</w:t>
            </w:r>
          </w:p>
        </w:tc>
      </w:tr>
    </w:tbl>
    <w:p>
      <w:pPr>
        <w:pStyle w:val="BodyText"/>
        <w:rPr/>
      </w:pPr>
      <w:r>
        <w:rPr>
          <w:b/>
          <w:bCs/>
        </w:rPr>
        <w:t>2. Matriz de riscos à qualidade (com evidência de ocorrência)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92"/>
        <w:gridCol w:w="2493"/>
        <w:gridCol w:w="2493"/>
        <w:gridCol w:w="2493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à qualidade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Ocorreu?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Resposta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RQ1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Usar fonte secundária com erro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Sim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4 erros no controle antigo (DV01, DV11–DV13)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Reconferir todo valor na imagem da DF; somas por fórmula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RQ2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Usar arquivo-fonte corrompido ou truncado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Sim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FR 2025 e 2026 (DV15); suspeita no ITR 2T25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Verificar tamanho e fim do texto antes de citar; registrar limitação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RQ3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Aplicar versão normativa errada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Evitado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240 (R2) e 570 (R1) de 2026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Mapa normativo com vigência lida no texto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RQ4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IA afirmar fato, página ou item inexistente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permanente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Toda afirmação com documento e página; itens conferidos no texto; revisão no B12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RQ5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Apresentar simulação como fato da CPFL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permanente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 por procedimento; rótulo SINTÉTICO na base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RQ6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Contaminar os testes com o gabarito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permanente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Gabarito em pasta reservada, não aberto antes do congelamento (PT 530)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RQ7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Prazo curto (entrega em 25/10/2026)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Cronograma por blocos; prioridade a requisitos obrigatórios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RQ8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Conflito de interesse do preparador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Desconhecido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Declaração do aluno (PT 200)</w:t>
            </w:r>
          </w:p>
        </w:tc>
      </w:tr>
    </w:tbl>
    <w:p>
      <w:pPr>
        <w:pStyle w:val="BodyText"/>
        <w:rPr/>
      </w:pPr>
      <w:r>
        <w:rPr>
          <w:b/>
          <w:bCs/>
        </w:rPr>
        <w:t>3. Registro de revisões realizadas até agora</w:t>
      </w:r>
    </w:p>
    <w:p>
      <w:pPr>
        <w:pStyle w:val="Compact"/>
        <w:numPr>
          <w:ilvl w:val="0"/>
          <w:numId w:val="124"/>
        </w:numPr>
        <w:rPr/>
      </w:pPr>
      <w:r>
        <w:rPr/>
        <w:t>RV-B01: revisão automatizada. Somas recalculadas e vigências lidas. Resultado: DV01–DV11.</w:t>
      </w:r>
    </w:p>
    <w:p>
      <w:pPr>
        <w:pStyle w:val="Compact"/>
        <w:numPr>
          <w:ilvl w:val="0"/>
          <w:numId w:val="125"/>
        </w:numPr>
        <w:rPr/>
      </w:pPr>
      <w:r>
        <w:rPr/>
        <w:t>RV-B02: revisão automatizada. 7 conciliações por fórmula e 92 fórmulas sem erro. Resultado: DV12–DV15.</w:t>
      </w:r>
    </w:p>
    <w:p>
      <w:pPr>
        <w:pStyle w:val="Compact"/>
        <w:numPr>
          <w:ilvl w:val="0"/>
          <w:numId w:val="126"/>
        </w:numPr>
        <w:rPr/>
      </w:pPr>
      <w:r>
        <w:rPr/>
        <w:t>Validação do aluno: D-B01-02 e D-B01-03 (22/10/2026).</w:t>
      </w:r>
    </w:p>
    <w:p>
      <w:pPr>
        <w:pStyle w:val="FirstParagraph"/>
        <w:rPr/>
      </w:pPr>
      <w:r>
        <w:rPr>
          <w:b/>
          <w:bCs/>
        </w:rPr>
        <w:t>4. Atualização em 23/10/2026 (Bloco 11): revisões dos Blocos 03 a 11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92"/>
        <w:gridCol w:w="2493"/>
        <w:gridCol w:w="2493"/>
        <w:gridCol w:w="2493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Tipo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que foi conferido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RV-B03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Automatizada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Campos obrigatórios dos PTs; citações de página na NBC TA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campo vazio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RV-B04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Automatizada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Fórmulas de materialidade e da matriz de riscos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 erros de fórmula; NBC TA 500 item 9 corrigido para p. 449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RV-B05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Automatizada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Mapa do grupo e segmentos × LAIR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Diferença zero (DV18)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RV-B06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Automatizada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Saldos por distribuidora nas DFs individuais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DV19 (proporções hipotéticas da base v1)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RV-B07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Automatizada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 verificações da base; reprodução em pasta limpa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 falhas; 4 hashes idênticos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RV-B08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Automatizada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Pré-registro e congelamento antes do gabarito (horários do Drive)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Protocolo cumprido; comparação só após o congelamento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RV-B09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Automatizada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61 linhas de abertura; planilha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 diferenças; DV20 (relatório de 2024 ausente do PDF)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RV-B10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Automatizada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Movimentação das provisões; quadro de liquidez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 de debêntures registrado como 30.641.582 (erro, corrigido para 30.641.585 no RV-B12)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RV-B11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Automatizada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Consolidação do PT 450 igual ao PT 530; planilha B11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 erros de fórmula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RV-B12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Automatizada (segunda leitura crítica, Bloco 12)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Cobertura do enunciado; 27 PTs × 9 campos; 143 modalidades; citações item × página; números × páginas da DF25; reprodução da base e dos testes em pasta limpa; eventos subsequentes; varredura de afirmações indevidas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14 achados no registro de revisão (CPFL_B12_Revisao_Tecnica_Cobertura.xlsx); erros comprovados corrigidos na v0.9</w:t>
            </w:r>
          </w:p>
        </w:tc>
      </w:tr>
    </w:tbl>
    <w:p>
      <w:pPr>
        <w:pStyle w:val="BodyText"/>
        <w:rPr/>
      </w:pPr>
      <w:r>
        <w:rPr>
          <w:b/>
          <w:bCs/>
        </w:rPr>
        <w:t>Validações do aluno:</w:t>
      </w:r>
      <w:r>
        <w:rPr/>
        <w:t xml:space="preserve"> D-B04-01 (materialidade), declaração de independência (PT 200), D-B06-01 e D-B06-02 (base v2), em 22 e 23/10/2026.</w:t>
      </w:r>
    </w:p>
    <w:p>
      <w:pPr>
        <w:pStyle w:val="BodyText"/>
        <w:rPr/>
      </w:pPr>
      <w:r>
        <w:rPr>
          <w:b/>
          <w:bCs/>
        </w:rPr>
        <w:t>Limite.</w:t>
      </w:r>
      <w:r>
        <w:rPr/>
        <w:t xml:space="preserve"> Todas as revisões RV foram feitas pela mesma IA que preparou os PTs. Valem como autoconferência, não como revisão independente (itens 29–34).</w:t>
      </w:r>
    </w:p>
    <w:p>
      <w:pPr>
        <w:pStyle w:val="BodyText"/>
        <w:rPr/>
      </w:pPr>
      <w:r>
        <w:rPr/>
        <w:t>Nenhuma revisão de terceiros foi realizada ou simulada.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NORMAS p. 89–130; DF25 p. 28; ESTADO_DO_PROJETO.md; DECISOES.md; aba Registro_Revisao (Controles B01). Referências cruzadas: PT 200 (ceticismo), PT 230 (documentação), PT 530 (blindagem do gabarito), Bloco 12.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Três riscos à qualidade já se materializaram (RQ1, RQ2, RQ7) e foram tratados. Não há revisor de qualidade independente.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qualidade é gerida com controles proporcionais a um trabalho individual. As lacunas em relação a uma firma real (especialistas, revisor de qualidade, monitoramento) estão documentadas e limitam as conclusões.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página 100 do PDF do consolidado de normas (NBC TA 220) está quase vazia; os itens citados foram lidos em outras páginas, e a lacuna está registrada (PB01-07).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Responsabilidade pela qualidade, direção, supervisão, revisão e documentação no nível do trabalho (itens 13, 29–34, 41).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Material de aplicação sobre natureza e extensão da revisão.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Revisões automatizadas registradas (RV-B01 a RV-B12) ; nenhuma revisão de terceiros simulada.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32" w:name="__RefHeading___Toc31495_1660191972"/>
      <w:bookmarkEnd w:id="32"/>
      <w:r>
        <w:rPr/>
        <w:t>PT 230 — Documentação de auditoria — índice, códigos, referências, versões, montagem e guarda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24/10/2026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230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Documentação de auditoria — índice, códigos, referências, versões, montagem e guarda. NBC TA 230 (R1) (DOU 05/09/2016; NORMAS p. 131–145). Itens: 7 (tempestividade), 8 (suficiência para auditor experiente), 9 (identificação de itens testados, quem executou e quando, quem revisou), 11 (inconsistências), 12 (não atendimento de requisito), 14–16 (montagem e alterações posteriores), A21 e A23 (prazos de referência).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Estabelecer o sistema de documentação do dossiê: índice, convenção de códigos e marcas, referências cruzadas, controle de versões e regras de montagem e guarda.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Arquivo do trabalho (dossiê, planilhas, base, códigos e controles).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Riscos: documentação insuficiente para um revisor experiente entender o que foi feito (item 8); perda de rastreabilidade entre versões; alteração não registrada após a montagem (item 16).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Todos os arquivos do projeto no Drive (pasta 09_Elaboracao_do_trabalho_CPFL e TRABALHO FINAL) e no futuro repositório GitHub.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índice e convenção de códigos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legenda de marcas e forma de referência cruzada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Instituir controle de versões (sufixos _vN e _historico; hashes SHA-256)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aplicado em DECISOES, ESTADO e PENDENCIAS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montagem final e guarda (prazo e local)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montagem final v1.0 no Bloco 13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Índice do arquivo (estrutura de pastas)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85"/>
        <w:gridCol w:w="4986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Pasta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00_Controle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ESTADO_DO_PROJETO, DECISOES, PENDENCIAS, controles do B01 (inventário, cobertura, mapa normativo)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01_Dados_reais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Dados transcritos da DF25 com página; memorando da entidade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02_Planejamento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Materialidade, riscos, plano e programas (B04–B05)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03_Base_sintetica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Base, dicionário, gerador, parâmetros (SINTÉTICO)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04_Testes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Seleções, resultados, comparação com gabarito (após congelamento)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05_Papeis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Fontes em texto dos PTs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06_Dossie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Dossiê consolidado DOCX/PDF (versões)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07_Entrega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Pacote final para o GitHub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TRABALHO FINAL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Dossiê consolidado vigente e arquivos de entrega (escolha do aluno)</w:t>
            </w:r>
          </w:p>
        </w:tc>
      </w:tr>
    </w:tbl>
    <w:p>
      <w:pPr>
        <w:pStyle w:val="BodyText"/>
        <w:rPr/>
      </w:pPr>
      <w:r>
        <w:rPr>
          <w:b/>
          <w:bCs/>
        </w:rPr>
        <w:t>2. Convenção de códigos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PT nnn</w:t>
      </w:r>
      <w:r>
        <w:rPr/>
        <w:t xml:space="preserve">: papel de trabalho da norma correspondente (PT EC, PT 200 … PT 600). Programas por ciclo: </w:t>
      </w:r>
      <w:r>
        <w:rPr>
          <w:b/>
          <w:bCs/>
        </w:rPr>
        <w:t>PG-REC</w:t>
      </w:r>
      <w:r>
        <w:rPr/>
        <w:t xml:space="preserve"> (receitas), </w:t>
      </w:r>
      <w:r>
        <w:rPr>
          <w:b/>
          <w:bCs/>
        </w:rPr>
        <w:t>PG-DISP</w:t>
      </w:r>
      <w:r>
        <w:rPr/>
        <w:t xml:space="preserve"> (disponibilidades), </w:t>
      </w:r>
      <w:r>
        <w:rPr>
          <w:b/>
          <w:bCs/>
        </w:rPr>
        <w:t>PG-EST</w:t>
      </w:r>
      <w:r>
        <w:rPr/>
        <w:t xml:space="preserve"> (estoques), </w:t>
      </w:r>
      <w:r>
        <w:rPr>
          <w:b/>
          <w:bCs/>
        </w:rPr>
        <w:t>PG-IMOB</w:t>
      </w:r>
      <w:r>
        <w:rPr/>
        <w:t xml:space="preserve"> (imobilizado), </w:t>
      </w:r>
      <w:r>
        <w:rPr>
          <w:b/>
          <w:bCs/>
        </w:rPr>
        <w:t>PG-PASS</w:t>
      </w:r>
      <w:r>
        <w:rPr/>
        <w:t xml:space="preserve"> (passivos) e </w:t>
      </w:r>
      <w:r>
        <w:rPr>
          <w:b/>
          <w:bCs/>
        </w:rPr>
        <w:t>PG-ESTIM</w:t>
      </w:r>
      <w:r>
        <w:rPr/>
        <w:t xml:space="preserve"> (estimativas).</w:t>
      </w:r>
    </w:p>
    <w:p>
      <w:pPr>
        <w:pStyle w:val="Compact"/>
        <w:numPr>
          <w:ilvl w:val="0"/>
          <w:numId w:val="128"/>
        </w:numPr>
        <w:rPr/>
      </w:pPr>
      <w:r>
        <w:rPr/>
        <w:t xml:space="preserve">Procedimentos: </w:t>
      </w:r>
      <w:r>
        <w:rPr>
          <w:b/>
          <w:bCs/>
        </w:rPr>
        <w:t>[PT]-nn</w:t>
      </w:r>
      <w:r>
        <w:rPr/>
        <w:t xml:space="preserve"> (ex.: 210-03). Divergências: </w:t>
      </w:r>
      <w:r>
        <w:rPr>
          <w:b/>
          <w:bCs/>
        </w:rPr>
        <w:t>DVnn</w:t>
      </w:r>
      <w:r>
        <w:rPr/>
        <w:t xml:space="preserve">. Decisões: </w:t>
      </w:r>
      <w:r>
        <w:rPr>
          <w:b/>
          <w:bCs/>
        </w:rPr>
        <w:t>D-Bnn-nn</w:t>
      </w:r>
      <w:r>
        <w:rPr/>
        <w:t xml:space="preserve">. Pendências: </w:t>
      </w:r>
      <w:r>
        <w:rPr>
          <w:b/>
          <w:bCs/>
        </w:rPr>
        <w:t>PBnn-nn</w:t>
      </w:r>
      <w:r>
        <w:rPr/>
        <w:t xml:space="preserve">. Fontes: </w:t>
      </w:r>
      <w:r>
        <w:rPr>
          <w:b/>
          <w:bCs/>
        </w:rPr>
        <w:t>Fnn/FCnn</w:t>
      </w:r>
      <w:r>
        <w:rPr/>
        <w:t xml:space="preserve"> (preservam os IDs da etapa 5).</w:t>
      </w:r>
    </w:p>
    <w:p>
      <w:pPr>
        <w:pStyle w:val="Compact"/>
        <w:numPr>
          <w:ilvl w:val="0"/>
          <w:numId w:val="129"/>
        </w:numPr>
        <w:rPr/>
      </w:pPr>
      <w:r>
        <w:rPr/>
        <w:t>Citação de fonte: documento + página física/página impressa (ex.: DF25 p. 34/2).</w:t>
      </w:r>
    </w:p>
    <w:p>
      <w:pPr>
        <w:pStyle w:val="FirstParagraph"/>
        <w:rPr/>
      </w:pPr>
      <w:r>
        <w:rPr>
          <w:b/>
          <w:bCs/>
        </w:rPr>
        <w:t>3. Legenda de marcas</w:t>
      </w:r>
    </w:p>
    <w:tbl>
      <w:tblPr>
        <w:tblStyle w:val="Table"/>
        <w:tblW w:w="79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Marca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Significado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✓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Conferido com a fonte original (documento e página)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Σ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Soma recalculada por fórmula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⇄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Conciliado com outra demonstração ou nota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[P]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 planejado por falta de acesso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[S]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Simulado: dado sintético, não é da CPFL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[Pub]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</w:tbl>
    <w:p>
      <w:pPr>
        <w:pStyle w:val="BodyText"/>
        <w:rPr/>
      </w:pPr>
      <w:r>
        <w:rPr>
          <w:b/>
          <w:bCs/>
        </w:rPr>
        <w:t>4. Referências cruzadas.</w:t>
      </w:r>
      <w:r>
        <w:rPr/>
        <w:t xml:space="preserve"> Cada PT tem o campo “Evidências e referências cruzadas”, que remete a outros PTs e a abas de planilhas (ex.: CPFL_B02_Dados_Reais_2025.xlsx › Conciliacoes › CC05).</w:t>
      </w:r>
    </w:p>
    <w:p>
      <w:pPr>
        <w:pStyle w:val="BodyText"/>
        <w:rPr/>
      </w:pPr>
      <w:r>
        <w:rPr>
          <w:b/>
          <w:bCs/>
        </w:rPr>
        <w:t>5. Controle de versões</w:t>
      </w:r>
    </w:p>
    <w:p>
      <w:pPr>
        <w:pStyle w:val="Compact"/>
        <w:numPr>
          <w:ilvl w:val="0"/>
          <w:numId w:val="130"/>
        </w:numPr>
        <w:rPr/>
      </w:pPr>
      <w:r>
        <w:rPr/>
        <w:t xml:space="preserve">Arquivos substituídos não são apagados: são renomeados com sufixo </w:t>
      </w:r>
      <w:r>
        <w:rPr>
          <w:rStyle w:val="VerbatimChar"/>
        </w:rPr>
        <w:t>_vN_..._historico</w:t>
      </w:r>
      <w:r>
        <w:rPr/>
        <w:t>. Exemplo: DECISOES_v1_2026-10-22_historico.md.</w:t>
      </w:r>
    </w:p>
    <w:p>
      <w:pPr>
        <w:pStyle w:val="Compact"/>
        <w:numPr>
          <w:ilvl w:val="0"/>
          <w:numId w:val="131"/>
        </w:numPr>
        <w:rPr/>
      </w:pPr>
      <w:r>
        <w:rPr/>
        <w:t>Fontes centrais têm SHA-256 registrado. Exemplos: DF25 0694f2b9…a578 e consolidado de normas f2edf5fa…2775.</w:t>
      </w:r>
    </w:p>
    <w:p>
      <w:pPr>
        <w:pStyle w:val="Compact"/>
        <w:numPr>
          <w:ilvl w:val="0"/>
          <w:numId w:val="132"/>
        </w:numPr>
        <w:rPr/>
      </w:pPr>
      <w:r>
        <w:rPr/>
        <w:t>O dossiê consolidado é versionado por bloco (v0.1 = Bloco 03).</w:t>
      </w:r>
    </w:p>
    <w:p>
      <w:pPr>
        <w:pStyle w:val="FirstParagraph"/>
        <w:rPr/>
      </w:pPr>
      <w:r>
        <w:rPr>
          <w:b/>
          <w:bCs/>
        </w:rPr>
        <w:t>6. Montagem e guarda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Aspecto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Exigência ou referência normativa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Escolha deste projeto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Tempestividade (item 7)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Documentar tempestivamente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Documentação ao fim de cada bloco, com data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Montagem (item 14 e A21)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Montagem tempestiva após a data do relatório. A21 indica, como referência, prazo que geralmente não ultrapassa 60 dias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Montagem final em 25/10/2026 (Bloco 13), data da entrega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Guarda (item 15 e A23)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descartar antes do fim do período de guarda. A23 cita, como referência, período geralmente não inferior a 5 anos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Repositório GitHub + Drive institucional. Prazo de guarda: definido pelo aluno e pela disciplina (não normativo)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Alterações após montagem (item 16)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Documentar quando, por quem e por quê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Novo commit/versão com nota de alteração; versão anterior preservada</w:t>
            </w:r>
          </w:p>
        </w:tc>
      </w:tr>
    </w:tbl>
    <w:p>
      <w:pPr>
        <w:pStyle w:val="BodyText"/>
        <w:rPr/>
      </w:pPr>
      <w:r>
        <w:rPr/>
        <w:t xml:space="preserve">Os itens A21 e A23 remetem a uma norma de controle de qualidade da firma (NBC PA 01, conforme o texto do consolidado). Os prazos acima são </w:t>
      </w:r>
      <w:r>
        <w:rPr>
          <w:b/>
          <w:bCs/>
        </w:rPr>
        <w:t>referências do material explicativo</w:t>
      </w:r>
      <w:r>
        <w:rPr/>
        <w:t>, não escolhas obrigatórias deste trabalho acadêmico.</w:t>
      </w:r>
    </w:p>
    <w:p>
      <w:pPr>
        <w:pStyle w:val="BodyText"/>
        <w:rPr/>
      </w:pPr>
      <w:r>
        <w:rPr>
          <w:b/>
          <w:bCs/>
        </w:rPr>
        <w:t>4. Montagem final (Bloco 13, 24/10/2026)</w:t>
      </w:r>
    </w:p>
    <w:p>
      <w:pPr>
        <w:pStyle w:val="Compact"/>
        <w:numPr>
          <w:ilvl w:val="0"/>
          <w:numId w:val="133"/>
        </w:numPr>
        <w:rPr/>
      </w:pPr>
      <w:r>
        <w:rPr/>
        <w:t xml:space="preserve">Versão final do dossiê: </w:t>
      </w:r>
      <w:r>
        <w:rPr>
          <w:b/>
          <w:bCs/>
        </w:rPr>
        <w:t>v1.0</w:t>
      </w:r>
      <w:r>
        <w:rPr/>
        <w:t xml:space="preserve"> (DOCX e PDF gerados do mesmo arquivo). Versões 0.1 a 0.9 preservadas no Drive (06_Dossie).</w:t>
      </w:r>
    </w:p>
    <w:p>
      <w:pPr>
        <w:pStyle w:val="Compact"/>
        <w:numPr>
          <w:ilvl w:val="0"/>
          <w:numId w:val="134"/>
        </w:numPr>
        <w:rPr/>
      </w:pPr>
      <w:r>
        <w:rPr/>
        <w:t>Repositório de entrega organizado em pastas numeradas (Apêndice C) com README de reprodução.</w:t>
      </w:r>
    </w:p>
    <w:p>
      <w:pPr>
        <w:pStyle w:val="Compact"/>
        <w:numPr>
          <w:ilvl w:val="0"/>
          <w:numId w:val="135"/>
        </w:numPr>
        <w:rPr/>
      </w:pPr>
      <w:r>
        <w:rPr/>
        <w:t>Após a montagem, alterações só com registro em DECISOES.md e nova versão (item 16).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NORMAS p. 131–145; estrutura do Drive (verificada em 22/10/2026); DECISOES.md (versionamento). Referências cruzadas: PT 220 (revisões), Matriz de cobertura (Controles B01).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Sistema de documentação definido e já aplicado: versões históricas preservadas e hashes registrados. Os itens 11 e 12 foram aplicados ao registrar divergências (DV01–DV15) e procedimentos não executáveis (modalidade ‘planejado’).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documentação permite a um revisor experiente rastrear fonte → procedimento → resultado. A montagem final foi concluída no Bloco 13 (v1.0); alterações posteriores exigem nova versão registrada.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Drive não registra hash automaticamente; a integridade depende dos hashes calculados nas sessões de trabalho. A versão vigente da norma de qualidade da firma citada em A21/A23 não foi conferida.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Documentação tempestiva, suficiente para auditor experiente, com itens testados, preparador e revisor (itens 7–9) e montagem final (itens 14–16).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Prazo de referência de 60 dias para montagem (A21) e de guarda (A23).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Codificação PT/DV/FC/D/RV, controle de versões e estrutura de pastas do repositório.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24/10/2026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33" w:name="__RefHeading___Toc31497_1660191972"/>
      <w:bookmarkEnd w:id="33"/>
      <w:r>
        <w:rPr/>
        <w:t>PT 240 — Responsabilidade do auditor em relação a fraude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240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Responsabilidade do auditor em relação a fraude. NBC TA 240 (R1) (DOU 05/09/2016), na numeração vigente após a ‘Revisão NBC 3’ (NORMAS p. 146–188). A NBC TA 315 (R2) item 12(l) remete ao item 28. Itens: 27 (presunção de fraude na receita), 28 (fraude = risco significativo), 32–33 (burla de controles; lançamentos, estimativas e transações incomuns), 48 (documentar refutação). A NBC TA 240 (R2), de 2026, não se aplica a 2025 (D-B01-02).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fatores de risco de fraude na CPFL, avaliar a presunção de fraude no reconhecimento de receita, tratar o risco de burla de controles pela administração e planejar os testes de lançamentos contábeis e as demais respostas.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 operacional (44.367.780; DRE p. 36/4), receita não faturada (1.763.858; p. 28), estimativas (notas 11, 15, 7, 22) e lançamentos de fechamento.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Ocorrência, corte e exatidão da receita (R03 e R04); avaliação das estimativas (R01, R02, R07); todas as afirmações quanto à burla (R16). Riscos significativos por fraude: R03 e R16.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27–29 (PAA), 39 (DFC), 54 (nota 3.11), 82–85 (covenants), 100–101 (nota 26), 103 (nota 31), 113 (nota 37); regimentos de governança (Drive pasta 03); planilha CPFL_B04_Planejamento_Riscos_Materialidade.xlsx, aba Fraude_240.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fatores de risco de fraude (incentivos/pressões, oportunidades, atitudes) com fontes públicas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a presunção de fraude na receita, por tipo de receita (item 27)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Discussão da equipe e indagações à administração, à auditoria interna e ao Comitê de Auditoria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Testar lançamentos contábeis e ajustes de fim de período (item 33(a))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acesso; critérios aplicados à base sintética no PT 530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retrospectiva de estimativas 2024 → 2025 (item 33(b))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(no PT 540)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razão de negócio de transações significativas incomuns (item 33(c))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(parcial)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Fatores de risco de fraude identificados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93"/>
        <w:gridCol w:w="3490"/>
        <w:gridCol w:w="3492"/>
        <w:gridCol w:w="796"/>
      </w:tblGrid>
      <w:tr>
        <w:trPr>
          <w:tblHeader w:val="true"/>
        </w:trPr>
        <w:tc>
          <w:tcPr>
            <w:tcW w:w="21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Categoria</w:t>
            </w:r>
          </w:p>
        </w:tc>
        <w:tc>
          <w:tcPr>
            <w:tcW w:w="349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</w:t>
            </w:r>
          </w:p>
        </w:tc>
        <w:tc>
          <w:tcPr>
            <w:tcW w:w="3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</w:t>
            </w:r>
          </w:p>
        </w:tc>
        <w:tc>
          <w:tcPr>
            <w:tcW w:w="7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Natureza</w:t>
            </w:r>
          </w:p>
        </w:tc>
      </w:tr>
      <w:tr>
        <w:trPr/>
        <w:tc>
          <w:tcPr>
            <w:tcW w:w="2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Incentivo/pressão</w:t>
            </w:r>
          </w:p>
        </w:tc>
        <w:tc>
          <w:tcPr>
            <w:tcW w:w="3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Remuneração e metas vinculadas a lucro e EBITDA; covenants financeiros (cross default)</w:t>
            </w:r>
          </w:p>
        </w:tc>
        <w:tc>
          <w:tcPr>
            <w:tcW w:w="3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Notas 18–19 p. 82–85 (covenants); FR item 8 indisponível (truncado)</w:t>
            </w:r>
          </w:p>
        </w:tc>
        <w:tc>
          <w:tcPr>
            <w:tcW w:w="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Inferência</w:t>
            </w:r>
          </w:p>
        </w:tc>
      </w:tr>
      <w:tr>
        <w:trPr/>
        <w:tc>
          <w:tcPr>
            <w:tcW w:w="2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Incentivo/pressão</w:t>
            </w:r>
          </w:p>
        </w:tc>
        <w:tc>
          <w:tcPr>
            <w:tcW w:w="3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Dividendos relevantes ao controlador (dividendos pagos 3.519.769 em 2025)</w:t>
            </w:r>
          </w:p>
        </w:tc>
        <w:tc>
          <w:tcPr>
            <w:tcW w:w="3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39/7</w:t>
            </w:r>
          </w:p>
        </w:tc>
        <w:tc>
          <w:tcPr>
            <w:tcW w:w="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</w:t>
            </w:r>
          </w:p>
        </w:tc>
      </w:tr>
      <w:tr>
        <w:trPr/>
        <w:tc>
          <w:tcPr>
            <w:tcW w:w="2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Oportunidade</w:t>
            </w:r>
          </w:p>
        </w:tc>
        <w:tc>
          <w:tcPr>
            <w:tcW w:w="3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Estimativas complexas com alta subjetividade (VNR, receita não faturada, ativo contratual)</w:t>
            </w:r>
          </w:p>
        </w:tc>
        <w:tc>
          <w:tcPr>
            <w:tcW w:w="3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PAA 1–3, DF25 p. 27–29</w:t>
            </w:r>
          </w:p>
        </w:tc>
        <w:tc>
          <w:tcPr>
            <w:tcW w:w="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</w:t>
            </w:r>
          </w:p>
        </w:tc>
      </w:tr>
      <w:tr>
        <w:trPr/>
        <w:tc>
          <w:tcPr>
            <w:tcW w:w="2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Oportunidade</w:t>
            </w:r>
          </w:p>
        </w:tc>
        <w:tc>
          <w:tcPr>
            <w:tcW w:w="3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Transações com o controlador (mútuos de 4.412.650)</w:t>
            </w:r>
          </w:p>
        </w:tc>
        <w:tc>
          <w:tcPr>
            <w:tcW w:w="3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35/3; nota 31</w:t>
            </w:r>
          </w:p>
        </w:tc>
        <w:tc>
          <w:tcPr>
            <w:tcW w:w="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</w:t>
            </w:r>
          </w:p>
        </w:tc>
      </w:tr>
      <w:tr>
        <w:trPr/>
        <w:tc>
          <w:tcPr>
            <w:tcW w:w="2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Oportunidade</w:t>
            </w:r>
          </w:p>
        </w:tc>
        <w:tc>
          <w:tcPr>
            <w:tcW w:w="3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Grupo complexo, com controladas em conjunto e reorganizações (incorporação da CPFL Geração em 2026)</w:t>
            </w:r>
          </w:p>
        </w:tc>
        <w:tc>
          <w:tcPr>
            <w:tcW w:w="3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1 p. 41–42; nota 37.1 p. 113</w:t>
            </w:r>
          </w:p>
        </w:tc>
        <w:tc>
          <w:tcPr>
            <w:tcW w:w="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</w:t>
            </w:r>
          </w:p>
        </w:tc>
      </w:tr>
      <w:tr>
        <w:trPr/>
        <w:tc>
          <w:tcPr>
            <w:tcW w:w="2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Atitude/racionalização</w:t>
            </w:r>
          </w:p>
        </w:tc>
        <w:tc>
          <w:tcPr>
            <w:tcW w:w="3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indícios públicos identificados; não testável sem acesso (entrevistas)</w:t>
            </w:r>
          </w:p>
        </w:tc>
        <w:tc>
          <w:tcPr>
            <w:tcW w:w="3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avaliável</w:t>
            </w:r>
          </w:p>
        </w:tc>
      </w:tr>
      <w:tr>
        <w:trPr/>
        <w:tc>
          <w:tcPr>
            <w:tcW w:w="2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 mitigador (não elimina o risco)</w:t>
            </w:r>
          </w:p>
        </w:tc>
        <w:tc>
          <w:tcPr>
            <w:tcW w:w="3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Comitê de Auditoria e Conselho Fiscal com regimentos publicados; Novo Mercado; auditoria por firma de grande porte</w:t>
            </w:r>
          </w:p>
        </w:tc>
        <w:tc>
          <w:tcPr>
            <w:tcW w:w="3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pasta 03 (regimentos 2025/2026); FR 2025 item 1.1</w:t>
            </w:r>
          </w:p>
        </w:tc>
        <w:tc>
          <w:tcPr>
            <w:tcW w:w="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</w:t>
            </w:r>
          </w:p>
        </w:tc>
      </w:tr>
    </w:tbl>
    <w:p>
      <w:pPr>
        <w:pStyle w:val="BodyText"/>
        <w:rPr/>
      </w:pPr>
      <w:r>
        <w:rPr>
          <w:b/>
          <w:bCs/>
        </w:rPr>
        <w:t>2. Presunção de fraude no reconhecimento de receita (item 27)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Tipo de receita (nota 26 / 3.11)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Discricionariedade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Fornecimento faturado (tarifas homologadas pela ANEEL)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Baixa: preço regulado e leitura de medidores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Presunção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refutada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para preço; mantida para volume e corte (ver não faturada)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Energia fornecida e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não faturada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(1.763.858)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Alta: estimativa com perdas técnicas e comerciais (DF25 p. 28, 54)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Risco significativo de fraude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(R03) — ocorrência, corte e exatidão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Ajuste a valor justo do ativo financeiro (VNR, 1.285.173 na receita)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Alta: estimativa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Tratado como risco significativo de estimativa (R01) e de viés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Comercialização (contratos bilaterais na CCEE)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Média: preço de mercado e registro de contratos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mantido; testes de corte (planejado)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 de construção (5.879.424)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Média: margem e estágio de obra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com adições do ativo contratual (R04)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Subsídios da CDE (3.103.700)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Baixa: valores definidos pela ANEEL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Presunção refutada; analítico</w:t>
            </w:r>
          </w:p>
        </w:tc>
      </w:tr>
    </w:tbl>
    <w:p>
      <w:pPr>
        <w:pStyle w:val="BodyText"/>
        <w:rPr/>
      </w:pPr>
      <w:r>
        <w:rPr/>
        <w:t>A refutação parcial é documentada conforme o item 48: as tarifas e os subsídios são fixados por ato regulatório, o que reduz a oportunidade de manipular o preço. A presunção continua para volume, corte e estimativas.</w:t>
      </w:r>
    </w:p>
    <w:p>
      <w:pPr>
        <w:pStyle w:val="BodyText"/>
        <w:rPr/>
      </w:pPr>
      <w:r>
        <w:rPr>
          <w:b/>
          <w:bCs/>
        </w:rPr>
        <w:t>3. Burla de controles pela administração (itens 32–33)</w:t>
      </w:r>
    </w:p>
    <w:p>
      <w:pPr>
        <w:pStyle w:val="BodyText"/>
        <w:rPr/>
      </w:pPr>
      <w:r>
        <w:rPr/>
        <w:t>O risco existe em todas as entidades e é tratado como significativo (R16). Respostas obrigatórias planejadas:</w:t>
      </w:r>
    </w:p>
    <w:p>
      <w:pPr>
        <w:pStyle w:val="Compact"/>
        <w:numPr>
          <w:ilvl w:val="0"/>
          <w:numId w:val="136"/>
        </w:numPr>
        <w:rPr/>
      </w:pPr>
      <w:r>
        <w:rPr>
          <w:b/>
          <w:bCs/>
        </w:rPr>
        <w:t>(a) Lançamentos contábeis.</w:t>
      </w:r>
      <w:r>
        <w:rPr/>
        <w:t xml:space="preserve"> Critérios de seleção: lançamentos manuais; lançamentos de fim de período e pós-fechamento; contas pouco usadas; valores redondos; lançamentos feitos por usuários não habituais; contrapartidas incomuns, como receita contra conta de ativo regulatório. Sem acesso ao razão, o teste fica </w:t>
      </w:r>
      <w:r>
        <w:rPr>
          <w:i/>
          <w:iCs/>
        </w:rPr>
        <w:t>planejado</w:t>
      </w:r>
      <w:r>
        <w:rPr/>
        <w:t>. Os critérios de seleção serão demonstrados na base sintética (PT 530), com rótulo [S].</w:t>
      </w:r>
    </w:p>
    <w:p>
      <w:pPr>
        <w:pStyle w:val="Compact"/>
        <w:numPr>
          <w:ilvl w:val="0"/>
          <w:numId w:val="137"/>
        </w:numPr>
        <w:rPr/>
      </w:pPr>
      <w:r>
        <w:rPr>
          <w:b/>
          <w:bCs/>
        </w:rPr>
        <w:t>(b) Revisão retrospectiva de estimativas.</w:t>
      </w:r>
      <w:r>
        <w:rPr/>
        <w:t xml:space="preserve"> Comparar 2024 com o realizado em 2025: VNR (ajuste de 1.104.267 em 2024 e 1.285.173 em 2025; nota 11), PDD (416.808 → 361.253) e provisões (nota 22). Execução no PT 540.</w:t>
      </w:r>
    </w:p>
    <w:p>
      <w:pPr>
        <w:pStyle w:val="Compact"/>
        <w:numPr>
          <w:ilvl w:val="0"/>
          <w:numId w:val="138"/>
        </w:numPr>
        <w:rPr/>
      </w:pPr>
      <w:r>
        <w:rPr>
          <w:b/>
          <w:bCs/>
        </w:rPr>
        <w:t>(c) Transações significativas incomuns.</w:t>
      </w:r>
      <w:r>
        <w:rPr/>
        <w:t xml:space="preserve"> Mútuos com partes relacionadas, que subiram de 2.485.694 para 4.412.650 (BP p. 35/3), e a liquidação antecipada de 5.616.000 em debêntures (nota 19, p. 85). Razão de negócio avaliada nos PT 550 e 570.</w:t>
      </w:r>
    </w:p>
    <w:p>
      <w:pPr>
        <w:pStyle w:val="FirstParagraph"/>
        <w:rPr/>
      </w:pPr>
      <w:r>
        <w:rPr>
          <w:b/>
          <w:bCs/>
        </w:rPr>
        <w:t>4. Comunicações planejadas.</w:t>
      </w:r>
      <w:r>
        <w:rPr/>
        <w:t xml:space="preserve"> Indícios de fraude seriam comunicados à governança (PT 260). Não foi identificado indício de fraude em fontes públicas. Fator de risco não é alegação.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27–29, 39, 54, 82–85, 100–101, 103, 113; CPFL_B04_Planejamento_Riscos_Materialidade.xlsx (abas Fraude_240 e Respostas_330). Referências cruzadas: PT 315 (R03, R16), PT 330, PT 540 (revisão retrospectiva), PT 550, PT 530 (critérios de lançamentos na base sintética), PT 260.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Dois riscos significativos de fraude: R03 (receita não faturada) e R16 (burla). Presunção de receita refutada só para preço tarifário e CDE, com fundamento documentado. Nenhum indício de fraude identificado nas fontes públicas.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Os riscos de fraude foram identificados e ligados a respostas específicas. Os testes de lançamentos dependem de acesso ao razão e permanecem planejados.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entrevistas, sem razão contábil e sem acesso a canais de denúncia. O FR 2025 do Drive está truncado; os itens de remuneração e controles não foram lidos (DV15). A avaliação de ‘atitudes’ não é possível com fontes públicas.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Presunção de risco de fraude na receita e risco de burla de controles pela administração; respostas aos riscos avaliados (itens 26–33).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Fatores de risco de fraude do apêndice 1 (exemplos).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Classificação de R16 como significativo e foco na receita não faturada e nas estimativas da concessão.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34" w:name="__RefHeading___Toc31499_1660191972"/>
      <w:bookmarkEnd w:id="34"/>
      <w:r>
        <w:rPr/>
        <w:t>PT 250 — Consideração de leis e regulamentos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250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Consideração de leis e regulamentos. NBC TA 250 (DOU 14/02/2019; NORMAS p. 189–202). Itens: 13 (entendimento da estrutura legal), 14 (efeito direto: evidência apropriada), 15 (outras leis: indagação e inspeção de correspondência com reguladores), 19–22 (indícios: entendimento, discussão, avaliação de implicações), 23–29 (comunicação).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Mapear as obrigações legais e regulatórias relevantes da CPFL, distinguir as de efeito direto nas DF das demais, e definir procedimentos e comunicações diante de indícios de descumprimento.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 regulada, ativos e passivos setoriais, ativo financeiro da concessão, tributos e contingências.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Divulgação e avaliação de contingências (R07); avaliação e classificação de itens regulatórios (R09, R18, R19).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notas 2.1, 8, 22, 26 e 37 (p. 45, 62–63, 94–96, 100–101, 113); Fato Relevante de 08/05/2026; políticas no Drive (pasta 03); CPFL_B04_Planejamento_Riscos_Materialidade.xlsx, aba Leis_250.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250-01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Mapear leis de efeito direto e outras leis relevantes, com a fonte de cada uma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250-02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Ler as divulgações de contingências e regulação (notas 22, 26, 37)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250-03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Indagar a administração e inspecionar correspondência com ANEEL, CVM e Receita Federal (item 15)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250-04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Validar bases CCEE/ONS antes de qualquer uso (indicador não prova infração)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 — pendência P07 da etapa 5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Mapa de leis e regulamentos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83"/>
        <w:gridCol w:w="2568"/>
        <w:gridCol w:w="1678"/>
        <w:gridCol w:w="1976"/>
        <w:gridCol w:w="2567"/>
      </w:tblGrid>
      <w:tr>
        <w:trPr>
          <w:tblHeader w:val="true"/>
        </w:trPr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Categoria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Lei / regulamento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</w:t>
            </w:r>
          </w:p>
        </w:tc>
        <w:tc>
          <w:tcPr>
            <w:tcW w:w="197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nas DF</w:t>
            </w:r>
          </w:p>
        </w:tc>
        <w:tc>
          <w:tcPr>
            <w:tcW w:w="2567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</w:tr>
      <w:tr>
        <w:trPr/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direto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Lei 6.404/76 e Resoluções CVM (estrutura contábil; CPC aprovados pela CVM)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nota 2.1 p. 45</w:t>
            </w:r>
          </w:p>
        </w:tc>
        <w:tc>
          <w:tcPr>
            <w:tcW w:w="1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Elaboração e divulgação</w:t>
            </w:r>
          </w:p>
        </w:tc>
        <w:tc>
          <w:tcPr>
            <w:tcW w:w="2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Ler DF e conferir aderência de divulgações-chave [Pub]</w:t>
            </w:r>
          </w:p>
        </w:tc>
      </w:tr>
      <w:tr>
        <w:trPr/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direto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Regulação tarifária ANEEL (PRORET, REH de reajuste)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26.1–26.2 p. 100–101</w:t>
            </w:r>
          </w:p>
        </w:tc>
        <w:tc>
          <w:tcPr>
            <w:tcW w:w="1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Receita, ativos/passivos setoriais</w:t>
            </w:r>
          </w:p>
        </w:tc>
        <w:tc>
          <w:tcPr>
            <w:tcW w:w="2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Conferir REH citadas e efeitos (nota 26.2) [Pub]</w:t>
            </w:r>
          </w:p>
        </w:tc>
      </w:tr>
      <w:tr>
        <w:trPr/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direto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Contratos de concessão e Decreto 12.068/2024 (renovação)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1 p. 41; Fato Relevante 08/05/2026</w:t>
            </w:r>
          </w:p>
        </w:tc>
        <w:tc>
          <w:tcPr>
            <w:tcW w:w="1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</w:t>
            </w:r>
          </w:p>
        </w:tc>
        <w:tc>
          <w:tcPr>
            <w:tcW w:w="2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Ler aditivos e cláusulas de indenização [P/Pub]</w:t>
            </w:r>
          </w:p>
        </w:tc>
      </w:tr>
      <w:tr>
        <w:trPr/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direto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Legislação tributária (IRPJ/CSLL, PIS/COFINS; tema 69 do STF — exclusão do ICMS)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8 p. 62–63; nota 10</w:t>
            </w:r>
          </w:p>
        </w:tc>
        <w:tc>
          <w:tcPr>
            <w:tcW w:w="1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Tributos, créditos e passivos com consumidores</w:t>
            </w:r>
          </w:p>
        </w:tc>
        <w:tc>
          <w:tcPr>
            <w:tcW w:w="2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e leitura de notas [Pub]</w:t>
            </w:r>
          </w:p>
        </w:tc>
      </w:tr>
      <w:tr>
        <w:trPr/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direto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CDE e subsídios tarifários (Lei 12.783/2013; Lei 14.300/2022)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26.3–26.4 p. 101</w:t>
            </w:r>
          </w:p>
        </w:tc>
        <w:tc>
          <w:tcPr>
            <w:tcW w:w="1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 e contas a receber da CDE</w:t>
            </w:r>
          </w:p>
        </w:tc>
        <w:tc>
          <w:tcPr>
            <w:tcW w:w="2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receita CDE 3.103.700 [Pub]</w:t>
            </w:r>
          </w:p>
        </w:tc>
      </w:tr>
      <w:tr>
        <w:trPr/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Outras com efeito relevante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Lei 15.269/2025 (compensação por curtailment)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37.2 p. 113</w:t>
            </w:r>
          </w:p>
        </w:tc>
        <w:tc>
          <w:tcPr>
            <w:tcW w:w="1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contingente não reconhecido</w:t>
            </w:r>
          </w:p>
        </w:tc>
        <w:tc>
          <w:tcPr>
            <w:tcW w:w="2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divulgação [Pub]</w:t>
            </w:r>
          </w:p>
        </w:tc>
      </w:tr>
      <w:tr>
        <w:trPr/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Outras com efeito relevante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Lei Anticorrupção 12.846/2013 (política anticorrupção publicada)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pasta 03 (Política Anticorrupção)</w:t>
            </w:r>
          </w:p>
        </w:tc>
        <w:tc>
          <w:tcPr>
            <w:tcW w:w="1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Contingências; reputação</w:t>
            </w:r>
          </w:p>
        </w:tc>
        <w:tc>
          <w:tcPr>
            <w:tcW w:w="2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Indagação à administração e governança [P]</w:t>
            </w:r>
          </w:p>
        </w:tc>
      </w:tr>
      <w:tr>
        <w:trPr/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Outras com efeito relevante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Legislação ambiental (provisões de desmobilização 175.276; incêndio — perda possível de 51.712)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BP p. 35/3; nota 22 p. 95</w:t>
            </w:r>
          </w:p>
        </w:tc>
        <w:tc>
          <w:tcPr>
            <w:tcW w:w="1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Provisões e contingências</w:t>
            </w:r>
          </w:p>
        </w:tc>
        <w:tc>
          <w:tcPr>
            <w:tcW w:w="2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Leitura de nota 22; cartas a advogados [Pub/P]</w:t>
            </w:r>
          </w:p>
        </w:tc>
      </w:tr>
      <w:tr>
        <w:trPr/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Outras com efeito relevante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Normas setoriais de qualidade (ONS/ANEEL — indicadores e penalidades)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Bases ONS/CCEE (pasta 05; não validadas)</w:t>
            </w:r>
          </w:p>
        </w:tc>
        <w:tc>
          <w:tcPr>
            <w:tcW w:w="1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Multas e compensações a consumidores</w:t>
            </w:r>
          </w:p>
        </w:tc>
        <w:tc>
          <w:tcPr>
            <w:tcW w:w="2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Validar fonte antes de uso; indicador não prova infração [P]</w:t>
            </w:r>
          </w:p>
        </w:tc>
      </w:tr>
    </w:tbl>
    <w:p>
      <w:pPr>
        <w:pStyle w:val="BodyText"/>
        <w:rPr/>
      </w:pPr>
      <w:r>
        <w:rPr>
          <w:b/>
          <w:bCs/>
        </w:rPr>
        <w:t>2. Situações já divulgadas que exigem atenção</w:t>
      </w:r>
    </w:p>
    <w:p>
      <w:pPr>
        <w:pStyle w:val="Compact"/>
        <w:numPr>
          <w:ilvl w:val="0"/>
          <w:numId w:val="139"/>
        </w:numPr>
        <w:rPr/>
      </w:pPr>
      <w:r>
        <w:rPr>
          <w:b/>
          <w:bCs/>
        </w:rPr>
        <w:t>Ação da ABRADEE</w:t>
      </w:r>
      <w:r>
        <w:rPr/>
        <w:t xml:space="preserve"> sobre a REN ANEEL 463/2011 (ultrapassagem de demanda e excedente de reativos). Ainda aguarda laudo pericial e julgamento. Os valores estão provisionados como obrigações especiais e passivos setoriais (nota 26.1, p. 100–101).</w:t>
      </w:r>
    </w:p>
    <w:p>
      <w:pPr>
        <w:pStyle w:val="Compact"/>
        <w:numPr>
          <w:ilvl w:val="0"/>
          <w:numId w:val="140"/>
        </w:numPr>
        <w:rPr/>
      </w:pPr>
      <w:r>
        <w:rPr>
          <w:b/>
          <w:bCs/>
        </w:rPr>
        <w:t>Curtailment</w:t>
      </w:r>
      <w:r>
        <w:rPr/>
        <w:t xml:space="preserve"> (Lei 15.269/2025). Nenhum valor foi reconhecido, porque as condições do termo de compromisso ainda são incertas (nota 37.2, p. 113). É um potencial ativo contingente, que exige avaliação da divulgação.</w:t>
      </w:r>
    </w:p>
    <w:p>
      <w:pPr>
        <w:pStyle w:val="Compact"/>
        <w:numPr>
          <w:ilvl w:val="0"/>
          <w:numId w:val="141"/>
        </w:numPr>
        <w:rPr/>
      </w:pPr>
      <w:r>
        <w:rPr>
          <w:b/>
          <w:bCs/>
        </w:rPr>
        <w:t>Processos possíveis.</w:t>
      </w:r>
      <w:r>
        <w:rPr/>
        <w:t xml:space="preserve"> Entre eles, uma ação ambiental com perda possível de R$ 51.712 mil na CPFL Paulista e execuções fiscais (nota 22, p. 95).</w:t>
      </w:r>
    </w:p>
    <w:p>
      <w:pPr>
        <w:pStyle w:val="FirstParagraph"/>
        <w:rPr/>
      </w:pPr>
      <w:r>
        <w:rPr>
          <w:b/>
          <w:bCs/>
        </w:rPr>
        <w:t>3. Procedimentos e comunicação diante de indícios (itens 19–29)</w:t>
      </w:r>
    </w:p>
    <w:p>
      <w:pPr>
        <w:pStyle w:val="BodyText"/>
        <w:rPr/>
      </w:pPr>
      <w:r>
        <w:rPr/>
        <w:t>Diante de um indício, os passos planejados são:</w:t>
      </w:r>
    </w:p>
    <w:p>
      <w:pPr>
        <w:pStyle w:val="Compact"/>
        <w:numPr>
          <w:ilvl w:val="0"/>
          <w:numId w:val="142"/>
        </w:numPr>
        <w:rPr/>
      </w:pPr>
      <w:r>
        <w:rPr/>
        <w:t>entender a natureza e as circunstâncias do ato (item 19);</w:t>
      </w:r>
    </w:p>
    <w:p>
      <w:pPr>
        <w:pStyle w:val="Compact"/>
        <w:numPr>
          <w:ilvl w:val="0"/>
          <w:numId w:val="143"/>
        </w:numPr>
        <w:rPr/>
      </w:pPr>
      <w:r>
        <w:rPr/>
        <w:t>discutir com a administração e, se necessário, com a governança (item 20);</w:t>
      </w:r>
    </w:p>
    <w:p>
      <w:pPr>
        <w:pStyle w:val="Compact"/>
        <w:numPr>
          <w:ilvl w:val="0"/>
          <w:numId w:val="144"/>
        </w:numPr>
        <w:rPr/>
      </w:pPr>
      <w:r>
        <w:rPr/>
        <w:t>avaliar o efeito nas DF e na avaliação de riscos, inclusive na confiabilidade das representações (item 22);</w:t>
      </w:r>
    </w:p>
    <w:p>
      <w:pPr>
        <w:pStyle w:val="Compact"/>
        <w:numPr>
          <w:ilvl w:val="0"/>
          <w:numId w:val="145"/>
        </w:numPr>
        <w:rPr/>
      </w:pPr>
      <w:r>
        <w:rPr/>
        <w:t>comunicar ao Comitê de Auditoria (PT 260) e avaliar a necessidade de reportar a autoridades, conforme a lei.</w:t>
      </w:r>
    </w:p>
    <w:p>
      <w:pPr>
        <w:pStyle w:val="FirstParagraph"/>
        <w:rPr/>
      </w:pPr>
      <w:r>
        <w:rPr>
          <w:b/>
          <w:bCs/>
        </w:rPr>
        <w:t>Neste trabalho não haverá comunicação real a ninguém.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45, 62–63, 94–96, 100–101, 113; Fato Relevante 08/05/2026; CPFL_B04_Planejamento_Riscos_Materialidade.xlsx aba Leis_250. Referências cruzadas: PT 315 (R07, R09, R18, R19), PT 501 (litígios), PT 260, PT 580.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Nove grupos de normas mapeados (5 de efeito direto e 4 outras). Não foi identificado, em fonte pública, indício de descumprimento não divulgado.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ambiente é altamente regulado; as normas de efeito direto (ANEEL, tributárias, CVM e contratos de concessão) concentram os riscos. Procedimentos de indagação e inspeção de correspondência permanecem planejados.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é parecer jurídico. Sem acesso a correspondência com reguladores. As bases ONS/CCEE do Drive não foram validadas e não foram usadas.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Obter entendimento da estrutura legal e evidência sobre leis de efeito direto (itens 13–15).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Exemplos de leis e regulamentos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Seleção ANEEL, tributos e CVM como normas de efeito direto relevantes.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35" w:name="__RefHeading___Toc31501_1660191972"/>
      <w:bookmarkEnd w:id="35"/>
      <w:r>
        <w:rPr/>
        <w:t>PT 260 — Comunicação com os responsáveis pela governança (MINUTA NÃO ENVIADA)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24/10/2026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260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Comunicação com os responsáveis pela governança (MINUTA NÃO ENVIADA). NBC TA 260 (R2) (DOU 04/07/2016; NORMAS p. 203–224). Itens: 9 (objetivos; p. 205), 11–13 (identificar os responsáveis pela governança; comunicação com subgrupo ou comitê; p. 206), 14 (responsabilidades do auditor), 15 (alcance e época planejados), 16 (constatações significativas: (a) aspectos qualitativos das práticas contábeis, (b) dificuldades significativas, (c) assuntos discutidos com a administração, (d) representações solicitadas, (e) outros assuntos), 17 (independência, entidades listadas; p. 207), 18 (processo de comunicação), 19 (forma escrita das constatações significativas), 21 (tempestividade), 22 (adequação do processo; p. 208), 23 (documentação). Apoio: NBC TA 265 item 9; NBC TA 450 itens 12–13.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a quem, o que, quando e como seriam comunicados os assuntos exigidos pela norma, e preparar a minuta da comunicação escrita. Nada foi enviado.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Processo de comunicação do trabalho como um todo (planejamento e constatações).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se aplica a afirmações. Riscos: comunicação incompleta ou intempestiva; comunicar como fato o que é simulação ou hipótese; falta de independência não divulgada.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Conclusões dos PTs 200 a 600; CPFL_B11_Comunicacoes_Distorcoes_Evidencia.xlsx, aba PT260_Checklist; CPFL_B11_Minutas_Governanca_Representacoes_NAO_ENVIADAS (PDF/DOCX), seção 1. Estrutura de governança: Conselho de Administração (aprovou a emissão das DF em 04/03/2026, DF25 p. 32) e o órgão de supervisão do processo de relatório financeiro indicado no Formulário de Referência (seção 12 truncada no arquivo disponível, DV15).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os responsáveis pela governança e o subgrupo apropriado (itens 11–13)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(parcial: FR truncado)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Listar os assuntos dos itens 14–17 e mapear a origem de cada um nos PTs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(documental)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Redigir minuta da comunicação escrita das constatações significativas (item 19)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 — MINUTA NÃO ENVIADA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Comunicar o alcance e a época planejados antes da execução (itens 15 e 21)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a adequação da comunicação recíproca (item 22)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Responsáveis pela governança (itens 11–13)</w:t>
      </w:r>
    </w:p>
    <w:p>
      <w:pPr>
        <w:pStyle w:val="Compact"/>
        <w:numPr>
          <w:ilvl w:val="0"/>
          <w:numId w:val="146"/>
        </w:numPr>
        <w:rPr/>
      </w:pPr>
      <w:r>
        <w:rPr/>
        <w:t>O Conselho de Administração aprovou a emissão das DF de 2025 em 04/03/2026, mesma data do relatório da PwC (DF25 p. 32).</w:t>
      </w:r>
    </w:p>
    <w:p>
      <w:pPr>
        <w:pStyle w:val="Compact"/>
        <w:numPr>
          <w:ilvl w:val="0"/>
          <w:numId w:val="147"/>
        </w:numPr>
        <w:rPr/>
      </w:pPr>
      <w:r>
        <w:rPr/>
        <w:t>A composição de comitês e do conselho fiscal estaria na seção 12 do Formulário de Referência, mas o arquivo disponível está truncado (DV15). Na auditoria real, a comunicação iria ao subgrupo com responsabilidade pela supervisão do relatório financeiro, e o auditor avaliaria se também precisa comunicar ao conselho inteiro (item 13).</w:t>
      </w:r>
    </w:p>
    <w:p>
      <w:pPr>
        <w:pStyle w:val="Compact"/>
        <w:numPr>
          <w:ilvl w:val="0"/>
          <w:numId w:val="148"/>
        </w:numPr>
        <w:rPr/>
      </w:pPr>
      <w:r>
        <w:rPr/>
        <w:t>Não há nomes de pessoas neste PT.</w:t>
      </w:r>
    </w:p>
    <w:p>
      <w:pPr>
        <w:pStyle w:val="FirstParagraph"/>
        <w:rPr/>
      </w:pPr>
      <w:r>
        <w:rPr>
          <w:b/>
          <w:bCs/>
        </w:rPr>
        <w:t>2. Assuntos e situação neste exercício (itens 14–17)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92"/>
        <w:gridCol w:w="2493"/>
        <w:gridCol w:w="2493"/>
        <w:gridCol w:w="2493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Item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Assunto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 que seria comunicado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Origem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14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Responsabilidades do auditor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Exame segundo as NBC TA; a auditoria não exime a administração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200/210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15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Alcance e época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Consolidado; materialidade global 404.562; riscos significativos R01, R02, R03 e R16; uso de base sintética no R01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300/315/320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16(a)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Práticas contábeis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VNR do ativo financeiro (nível 3; IPCA ±1 p.p. = ±66% da global); divulgação da renovação sem quantificação do efeito possível; julgamento de controle conjunto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540/600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16(b)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Dificuldades significativas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acesso a registros, pessoas e terceiros; FR truncado; relatório de 2024 ausente do PDF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500/510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16(c)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Assuntos com a administração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Nenhuma discussão ocorreu. Seriam: diferença de +150 mil no VNR da Paulista; reconhecimento do IRRF Jantus (139.291)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520/560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16(d)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Representações solicitadas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Minuta do PT 580 (não enviada)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580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16(e)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Outros assuntos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Mútuo SGEL 4.412.650 (parte relacionada); CCL negativo de 1.259.649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550/570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17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Independência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Declaração do aluno: sem vínculo com o Grupo CPFL; nenhum serviço prestado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200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265 item 9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Deficiências significativas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Nenhuma identificada com evidência pública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265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450 item 12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Distorções não corrigidas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Nenhuma distorção real; as sintéticas são apenas resultado didático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450</w:t>
            </w:r>
          </w:p>
        </w:tc>
      </w:tr>
    </w:tbl>
    <w:p>
      <w:pPr>
        <w:pStyle w:val="BodyText"/>
        <w:rPr/>
      </w:pPr>
      <w:r>
        <w:rPr>
          <w:b/>
          <w:bCs/>
        </w:rPr>
        <w:t>3. Forma e época (itens 18–22)</w:t>
      </w:r>
    </w:p>
    <w:p>
      <w:pPr>
        <w:pStyle w:val="Compact"/>
        <w:numPr>
          <w:ilvl w:val="0"/>
          <w:numId w:val="149"/>
        </w:numPr>
        <w:rPr/>
      </w:pPr>
      <w:r>
        <w:rPr/>
        <w:t>Escrita para as constatações significativas (item 19). Oral, com registro, para o planejamento (item 15).</w:t>
      </w:r>
    </w:p>
    <w:p>
      <w:pPr>
        <w:pStyle w:val="Compact"/>
        <w:numPr>
          <w:ilvl w:val="0"/>
          <w:numId w:val="150"/>
        </w:numPr>
        <w:rPr/>
      </w:pPr>
      <w:r>
        <w:rPr/>
        <w:t>Planejamento: antes da execução dos testes. Constatações: antes da data do relatório. Independência: na conclusão.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Separação obrigatória na minuta:</w:t>
      </w:r>
      <w:r>
        <w:rPr/>
        <w:t xml:space="preserve"> (i) fatos com evidência pública; (ii) hipóteses que dependem de acesso; (iii) resultados sintéticos. A minuta não apresenta a simulação como achado sobre a CPFL.</w:t>
      </w:r>
    </w:p>
    <w:p>
      <w:pPr>
        <w:pStyle w:val="FirstParagraph"/>
        <w:rPr/>
      </w:pPr>
      <w:r>
        <w:rPr/>
        <w:t>A minuta completa está em CPFL_B11_Minutas_Governanca_Representacoes_NAO_ENVIADAS (PDF/DOCX), seção 1.</w:t>
      </w:r>
    </w:p>
    <w:p>
      <w:pPr>
        <w:pStyle w:val="BodyText"/>
        <w:rPr/>
      </w:pPr>
      <w:r>
        <w:rPr>
          <w:b/>
          <w:bCs/>
        </w:rPr>
        <w:t>4. Atualização em 24/10/2026 (Bloco 13): estrutura de governança confirmada na base da CVM</w:t>
      </w:r>
    </w:p>
    <w:p>
      <w:pPr>
        <w:pStyle w:val="BodyText"/>
        <w:rPr/>
      </w:pPr>
      <w:r>
        <w:rPr/>
        <w:t>O arquivo de pareceres e declarações da DFP 2025 na CVM (dfp_cia_aberta_parecer_2025, versão 1) contém, além do relatório do auditor:</w:t>
      </w:r>
    </w:p>
    <w:p>
      <w:pPr>
        <w:pStyle w:val="Compact"/>
        <w:numPr>
          <w:ilvl w:val="0"/>
          <w:numId w:val="152"/>
        </w:numPr>
        <w:rPr/>
      </w:pPr>
      <w:r>
        <w:rPr/>
        <w:t xml:space="preserve">relatório anual resumido do </w:t>
      </w:r>
      <w:r>
        <w:rPr>
          <w:b/>
          <w:bCs/>
        </w:rPr>
        <w:t>Comitê de Auditoria</w:t>
      </w:r>
      <w:r>
        <w:rPr/>
        <w:t>, com três membros independentes, datado de 27/02/2026;</w:t>
      </w:r>
    </w:p>
    <w:p>
      <w:pPr>
        <w:pStyle w:val="Compact"/>
        <w:numPr>
          <w:ilvl w:val="0"/>
          <w:numId w:val="153"/>
        </w:numPr>
        <w:rPr/>
      </w:pPr>
      <w:r>
        <w:rPr>
          <w:b/>
          <w:bCs/>
        </w:rPr>
        <w:t>parecer do Conselho Fiscal</w:t>
      </w:r>
      <w:r>
        <w:rPr/>
        <w:t>, de 27/02/2026, que menciona o relatório da PwC sem ressalvas datado de 04/03/2026;</w:t>
      </w:r>
    </w:p>
    <w:p>
      <w:pPr>
        <w:pStyle w:val="Compact"/>
        <w:numPr>
          <w:ilvl w:val="0"/>
          <w:numId w:val="154"/>
        </w:numPr>
        <w:rPr/>
      </w:pPr>
      <w:r>
        <w:rPr/>
        <w:t>declarações da diretoria sobre as DF e sobre o relatório do auditor.</w:t>
      </w:r>
    </w:p>
    <w:p>
      <w:pPr>
        <w:pStyle w:val="FirstParagraph"/>
        <w:rPr/>
      </w:pPr>
      <w:r>
        <w:rPr/>
        <w:t xml:space="preserve">Com isso, o subgrupo pretendido para a comunicação (item 13) é o </w:t>
      </w:r>
      <w:r>
        <w:rPr>
          <w:b/>
          <w:bCs/>
        </w:rPr>
        <w:t>Comitê de Auditoria</w:t>
      </w:r>
      <w:r>
        <w:rPr/>
        <w:t>, com cópia ao Conselho de Administração e ao Conselho Fiscal. A limitação do FR truncado (DV15) fica superada para este ponto. Nomes de pessoas não foram transcritos.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NORMAS p. 203–208; DF25 p. 32; CPFL_B11_Comunicacoes_Distorcoes_Evidencia.xlsx (PT260_Checklist); CPFL_B11_Minutas_Governanca_Representacoes_NAO_ENVIADAS (PDF/DOCX). Referências cruzadas: PT 200, PT 265, PT 315, PT 320, PT 450, PT 520, PT 540, PT 550, PT 560, PT 570, PT 580. Bloco 13: CVM, DFP 2025 v1 (dfp_cia_aberta_parecer_2025).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Dez assuntos mapeados com origem. Nenhum assunto do item 16(c) foi efetivamente discutido. Minuta preparada e NÃO ENVIADA. Bloco 13: Comitê de Auditoria e Conselho Fiscal confirmados na base da CVM (pareceres de 27/02/2026).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conteúdo exigido pela NBC TA 260 está identificado e rastreável aos PTs. A comunicação recíproca, que é o propósito da norma, não ocorreu. Não é conclusão sobre a governança da CPFL.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contato com a governança. Estrutura de comitês não confirmada (FR truncado). A adequação da comunicação recíproca (item 22) não pode ser avaliada.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Comunicar responsabilidades, alcance e época, constatações significativas e independência (itens 14–17), por escrito quando significativas (item 19).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Exemplos de assuntos a comunicar e forma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Minuta única para o Comitê de Auditoria e o Conselho, sem nomes de pessoas, não enviada.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24/10/2026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36" w:name="__RefHeading___Toc31503_1660191972"/>
      <w:bookmarkEnd w:id="36"/>
      <w:r>
        <w:rPr/>
        <w:t>PT 265 — Comunicação de deficiências de controle interno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265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Comunicação de deficiências de controle interno. NBC TA 265 (Res. CFC 1.210/09; NORMAS p. 225–234). Itens: 5 (objetivo; p. 228), 6 (definições: deficiência e deficiência significativa; p. 229), 7 (determinar se há deficiências), 8 (determinar se são significativas), 9 (comunicar por escrito à governança, tempestivamente), 10 (comunicar à administração; p. 229), 11 (conteúdo da comunicação escrita; p. 230); A5–A7 (indicadores de deficiência significativa).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se as condições encontradas indicam deficiências de controle interno da CPFL e, se significativas, como seriam comunicadas. Separar deficiências reais, hipóteses dependentes de acesso e achados sintéticos. A falta de acesso do aluno não é tratada como deficiência da companhia.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Controles relevantes para os riscos R01 (cadastro e VNR), R03 (medição e faturamento), R07 (contencioso), R13 (partes relacionadas) e R16 (lançamentos manuais).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Riscos de controle associados a existência, avaliação, integridade e divulgação.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CPFL_B11_Comunicacoes_Distorcoes_Evidencia.xlsx, aba PT265_Matriz (DC-01 a DC-06); PTs 315, 330, 450, 520, 530, 540, 560.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265-01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Construir a matriz condição/critério/causa/efeito/recomendação/evidência (itens 7–8)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(DC-02 a DC-06) / Simulado (DC-01)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265-02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Classificar cada condição: real, hipótese, sintética ou do preparador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(documental)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265-03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significância com os indicadores A5–A7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(limitado)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265-04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Testar controles para confirmar deficiências (NBC TA 330 item 8)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265-05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Comunicar por escrito à governança e à administração (itens 9–11)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 — MINUTA NÃO ENVIADA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Matriz resumida (detalhe na aba PT265_Matriz)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92"/>
        <w:gridCol w:w="2493"/>
        <w:gridCol w:w="2493"/>
        <w:gridCol w:w="2493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Categoria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Condição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Classificação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DC-01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Sintética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Duplicidades, baixados com valor, valores fora do recálculo e categorias incoerentes na base simulada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Seria significativa num caso real;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não é deficiência da CPFL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DC-02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Hipótese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VNR da Paulista +150.451 acima da expectativa, sem explicação pública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avaliável sem acesso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DC-03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Hipótese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Reconhecimento do IRRF Jantus (139.291) não demonstrado nas notas (DF25 p. 96)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avaliável sem acesso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DC-04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 (divulgação)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1.3 (p. 44) sem quantificar o efeito possível da renovação; em 2026, 29.599.494 foram reclassificados (ITR 2T26 p. 49)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Ponto de divulgação,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não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deficiência de controle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DC-05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Falta de acesso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Controles de TI, medição e faturamento não testados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Não é deficiência da companhia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DC-06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Preparador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Erros de transcrição corrigidos (Apêndice A)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Qualidade do trabalho (PT 220)</w:t>
            </w:r>
          </w:p>
        </w:tc>
      </w:tr>
    </w:tbl>
    <w:p>
      <w:pPr>
        <w:pStyle w:val="BodyText"/>
        <w:rPr/>
      </w:pPr>
      <w:r>
        <w:rPr>
          <w:b/>
          <w:bCs/>
        </w:rPr>
        <w:t>2. Avaliação de significância (item 8 e A5–A7)</w:t>
      </w:r>
    </w:p>
    <w:p>
      <w:pPr>
        <w:pStyle w:val="Compact"/>
        <w:numPr>
          <w:ilvl w:val="0"/>
          <w:numId w:val="155"/>
        </w:numPr>
        <w:rPr/>
      </w:pPr>
      <w:r>
        <w:rPr/>
        <w:t xml:space="preserve">Uma deficiência exige saber que um controle falta ou falhou. Sem testes de controles, só há </w:t>
      </w:r>
      <w:r>
        <w:rPr>
          <w:b/>
          <w:bCs/>
        </w:rPr>
        <w:t>indícios</w:t>
      </w:r>
      <w:r>
        <w:rPr/>
        <w:t xml:space="preserve"> (DC-02, DC-03), e eles podem ter explicação legítima.</w:t>
      </w:r>
    </w:p>
    <w:p>
      <w:pPr>
        <w:pStyle w:val="Compact"/>
        <w:numPr>
          <w:ilvl w:val="0"/>
          <w:numId w:val="156"/>
        </w:numPr>
        <w:rPr/>
      </w:pPr>
      <w:r>
        <w:rPr/>
        <w:t>A opinião sem modificação da PwC e a ausência de PAA sobre controles (DF25 p. 26–32) não provam a eficácia dos controles. Também não indicam deficiência.</w:t>
      </w:r>
    </w:p>
    <w:p>
      <w:pPr>
        <w:pStyle w:val="Compact"/>
        <w:numPr>
          <w:ilvl w:val="0"/>
          <w:numId w:val="157"/>
        </w:numPr>
        <w:rPr/>
      </w:pPr>
      <w:r>
        <w:rPr>
          <w:b/>
          <w:bCs/>
        </w:rPr>
        <w:t>Conclusão do item 8:</w:t>
      </w:r>
      <w:r>
        <w:rPr/>
        <w:t xml:space="preserve"> nenhuma deficiência significativa da CPFL foi identificada com evidência pública.</w:t>
      </w:r>
    </w:p>
    <w:p>
      <w:pPr>
        <w:pStyle w:val="FirstParagraph"/>
        <w:rPr/>
      </w:pPr>
      <w:r>
        <w:rPr>
          <w:b/>
          <w:bCs/>
        </w:rPr>
        <w:t>3. Comunicação (itens 9–11)</w:t>
      </w:r>
    </w:p>
    <w:p>
      <w:pPr>
        <w:pStyle w:val="Compact"/>
        <w:numPr>
          <w:ilvl w:val="0"/>
          <w:numId w:val="158"/>
        </w:numPr>
        <w:rPr/>
      </w:pPr>
      <w:r>
        <w:rPr/>
        <w:t>Sem deficiência significativa, não há comunicação obrigatória à governança pelo item 9.</w:t>
      </w:r>
    </w:p>
    <w:p>
      <w:pPr>
        <w:pStyle w:val="Compact"/>
        <w:numPr>
          <w:ilvl w:val="0"/>
          <w:numId w:val="159"/>
        </w:numPr>
        <w:rPr/>
      </w:pPr>
      <w:r>
        <w:rPr/>
        <w:t>A minuta do item 11 está em CPFL_B11_Minutas_Governanca_Representacoes_NAO_ENVIADAS (PDF/DOCX), seção 2. Ela comunica DC-01 apenas como demonstração didática, com a ressalva de que é sintética, e lista DC-02 e DC-03 como assuntos a investigar, não como deficiências.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NORMAS p. 228–230; DF25 p. 26–32, 44, 96; ITR 2T26 p. 49; CPFL_B11_Comunicacoes_Distorcoes_Evidencia.xlsx (PT265_Matriz); CPFL_B11_Minutas_Governanca_Representacoes_NAO_ENVIADAS (PDF/DOCX). Referências cruzadas: PT 220, PT 260, PT 315, PT 330, PT 450, PT 520, PT 530, PT 540, PT 560.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Seis condições avaliadas: 1 sintética, 2 hipóteses, 1 ponto de divulgação, 1 limitação de acesso e 1 erro do preparador. Nenhuma deficiência significativa real.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 a evidência pública, não há base para afirmar deficiência significativa de controle interno da CPFL. Isso não é afirmação de que os controles são eficazes. Não é conclusão sobre a CPFL.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 controle foi testado. A classificação depende de procedimentos planejados (PT 330).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Determinar deficiências e se são significativas; comunicar por escrito as significativas (itens 7–9, 11).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Indicadores de deficiência significativa (A5–A7).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Separar real, hipótese, sintético e falta de acesso (D-B11-01, D-B11-02).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37" w:name="__RefHeading___Toc31505_1660191972"/>
      <w:bookmarkEnd w:id="37"/>
      <w:r>
        <w:rPr/>
        <w:t>PT 300 — Planejamento — estratégia global, plano, cronograma e programas por ciclo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300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Planejamento — estratégia global, plano, cronograma e programas por ciclo. NBC TA 300 (R1) (DOU 05/09/2016; NORMAS p. 237–251). Itens: 7–8 (estratégia global: alcance, época, direção), 9 (plano de auditoria), 10 (atualização), 12 (documentação), 13 (auditoria inicial). Comentários didáticos com exemplos de outra companhia no consolidado foram ignorados.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a estratégia global e o plano de auditoria das DF consolidadas de 2025 da CPFL, com cronograma e programas por ciclo, justificando prioridades e alterações.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consolidadas 2025 (todas as classes significativas).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 matriz do PT 315 (19 riscos; 4 significativos).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Resultados dos PT EC–230, PT 315 e PT 320; CPFL_B04_Planejamento_Riscos_Materialidade.xlsx, abas Programas_Ciclos e Cronograma_300.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300-01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características do trabalho, objetivos de relatório, fatores significativos e recursos (item 8)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300-02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Elaborar o plano: avaliação de riscos, procedimentos adicionais e outros (item 9)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300-03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Elaborar os 6 programas por ciclo com a aplicabilidade fundamentada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programas elaborados; execução registrada nos PTs seguintes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300-04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Registrar alterações de planejamento (item 10)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controle de versões (PT 230)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Estratégia global (itens 7–8)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85"/>
        <w:gridCol w:w="4986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Elemento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Definição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Alcance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individuais e consolidadas de 2025 (perímetro principal: consolidado), com práticas contábeis adotadas no Brasil e IFRS. Companhia listada (Novo Mercado): relatório com PAA (NBC TA 701, fora do escopo deste dossiê)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Época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Planejamento em 22/10/2026; execução até 25/10/2026. Em uma auditoria real: interina no 4º trimestre e final em jan–fev, com relatório em 04/03/2026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Direção e prioridades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(1) ativo financeiro da concessão (36,5% do ativo; PAA 3); (2) ativo contratual (PAA 1); (3) receita não faturada (PAA 2) e fraude; (4) dívida e covenants; (5) grupo (PT 600)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Materialidade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Global 404.562,30; execução 303.421,73; trivial 20.228,12 (PT 320)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Abordagem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Substantiva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não há testes de controles possíveis. RDR = risco inerente (315 item 34)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Recursos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Aluno + IA. Em auditoria real seriam necessários especialistas em avaliação (VNR), TI (faturamento) e tributos (PT 220)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Auditoria inicial (item 13)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Tratada como didática: saldos de abertura no PT 510</w:t>
            </w:r>
          </w:p>
        </w:tc>
      </w:tr>
    </w:tbl>
    <w:p>
      <w:pPr>
        <w:pStyle w:val="BodyText"/>
        <w:rPr/>
      </w:pPr>
      <w:r>
        <w:rPr>
          <w:b/>
          <w:bCs/>
        </w:rPr>
        <w:t>2. Programas por ciclo (resumo; detalhes na planilha)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78"/>
        <w:gridCol w:w="2129"/>
        <w:gridCol w:w="1549"/>
        <w:gridCol w:w="2808"/>
        <w:gridCol w:w="2808"/>
      </w:tblGrid>
      <w:tr>
        <w:trPr>
          <w:tblHeader w:val="true"/>
        </w:trPr>
        <w:tc>
          <w:tcPr>
            <w:tcW w:w="678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Código</w:t>
            </w:r>
          </w:p>
        </w:tc>
        <w:tc>
          <w:tcPr>
            <w:tcW w:w="212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Ciclo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Riscos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Saldo-base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Aplicabilidade e extensão</w:t>
            </w:r>
          </w:p>
        </w:tc>
      </w:tr>
      <w:tr>
        <w:trPr/>
        <w:tc>
          <w:tcPr>
            <w:tcW w:w="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PG-REC</w:t>
            </w:r>
          </w:p>
        </w:tc>
        <w:tc>
          <w:tcPr>
            <w:tcW w:w="2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Receitas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R03, R04, R15, R16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44.367.780 (DRE p. 36/4)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Aplicável — maior classe de transações; presunção de fraude</w:t>
            </w:r>
          </w:p>
        </w:tc>
      </w:tr>
      <w:tr>
        <w:trPr/>
        <w:tc>
          <w:tcPr>
            <w:tcW w:w="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PG-DISP</w:t>
            </w:r>
          </w:p>
        </w:tc>
        <w:tc>
          <w:tcPr>
            <w:tcW w:w="2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Disponibilidades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R11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2.229.320 + TVM 675.762 (BP p. 34/2)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Aplicável — saldo acima da materialidade global; risco baixo</w:t>
            </w:r>
          </w:p>
        </w:tc>
      </w:tr>
      <w:tr>
        <w:trPr/>
        <w:tc>
          <w:tcPr>
            <w:tcW w:w="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PG-EST</w:t>
            </w:r>
          </w:p>
        </w:tc>
        <w:tc>
          <w:tcPr>
            <w:tcW w:w="2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Estoques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R12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236.566 (BP p. 34/2)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Aplicabilidade limitada — 58% da materialidade global; 0,3% do ativo</w:t>
            </w:r>
          </w:p>
        </w:tc>
      </w:tr>
      <w:tr>
        <w:trPr/>
        <w:tc>
          <w:tcPr>
            <w:tcW w:w="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PG-IMOB</w:t>
            </w:r>
          </w:p>
        </w:tc>
        <w:tc>
          <w:tcPr>
            <w:tcW w:w="2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Imobilizado (e intangível/ativos da concessão)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R10, R01, R02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9.375.879 + intangível 6.892.839 (BP p. 34/2)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Aplicável — distinguir imobilizado societário da infraestrutura da concessão (ICPC 01)</w:t>
            </w:r>
          </w:p>
        </w:tc>
      </w:tr>
      <w:tr>
        <w:trPr/>
        <w:tc>
          <w:tcPr>
            <w:tcW w:w="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PG-PASS</w:t>
            </w:r>
          </w:p>
        </w:tc>
        <w:tc>
          <w:tcPr>
            <w:tcW w:w="2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Passivos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R06, R07, R13, R17, R19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Passivo total 57.595.420 (BP p. 35/3)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Aplicável — dívida de 29.055.727 e provisões de 1.740.903</w:t>
            </w:r>
          </w:p>
        </w:tc>
      </w:tr>
      <w:tr>
        <w:trPr/>
        <w:tc>
          <w:tcPr>
            <w:tcW w:w="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PG-ESTIM</w:t>
            </w:r>
          </w:p>
        </w:tc>
        <w:tc>
          <w:tcPr>
            <w:tcW w:w="2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Estimativas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R01, R02, R03, R05, R07, R08, R18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 29.623.619; ativo contratual 12.859.523; não faturada 1.763.858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Aplicável — três PAA são estimativas</w:t>
            </w:r>
          </w:p>
        </w:tc>
      </w:tr>
    </w:tbl>
    <w:p>
      <w:pPr>
        <w:pStyle w:val="BodyText"/>
        <w:rPr/>
      </w:pPr>
      <w:r>
        <w:rPr/>
        <w:t>Os procedimentos de cada programa estão na seção 6 do dossiê e na aba Programas_Ciclos.</w:t>
      </w:r>
    </w:p>
    <w:p>
      <w:pPr>
        <w:pStyle w:val="BodyText"/>
        <w:rPr/>
      </w:pPr>
      <w:r>
        <w:rPr>
          <w:b/>
          <w:bCs/>
        </w:rPr>
        <w:t>3. Cronograma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86"/>
        <w:gridCol w:w="896"/>
        <w:gridCol w:w="698"/>
        <w:gridCol w:w="3491"/>
      </w:tblGrid>
      <w:tr>
        <w:trPr>
          <w:tblHeader w:val="true"/>
        </w:trPr>
        <w:tc>
          <w:tcPr>
            <w:tcW w:w="48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Fase</w:t>
            </w:r>
          </w:p>
        </w:tc>
        <w:tc>
          <w:tcPr>
            <w:tcW w:w="8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</w:t>
            </w:r>
          </w:p>
        </w:tc>
        <w:tc>
          <w:tcPr>
            <w:tcW w:w="698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Bloco</w:t>
            </w:r>
          </w:p>
        </w:tc>
        <w:tc>
          <w:tcPr>
            <w:tcW w:w="349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PTs</w:t>
            </w:r>
          </w:p>
        </w:tc>
      </w:tr>
      <w:tr>
        <w:trPr/>
        <w:tc>
          <w:tcPr>
            <w:tcW w:w="4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Planejamento (estratégia, riscos, materialidade)</w:t>
            </w:r>
          </w:p>
        </w:tc>
        <w:tc>
          <w:tcPr>
            <w:tcW w:w="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  <w:tc>
          <w:tcPr>
            <w:tcW w:w="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B03–B04</w:t>
            </w:r>
          </w:p>
        </w:tc>
        <w:tc>
          <w:tcPr>
            <w:tcW w:w="3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EC–230, 240, 250, 300, 315, 320, 330</w:t>
            </w:r>
          </w:p>
        </w:tc>
      </w:tr>
      <w:tr>
        <w:trPr/>
        <w:tc>
          <w:tcPr>
            <w:tcW w:w="4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Grupo e prestadores</w:t>
            </w:r>
          </w:p>
        </w:tc>
        <w:tc>
          <w:tcPr>
            <w:tcW w:w="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  <w:tc>
          <w:tcPr>
            <w:tcW w:w="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B05</w:t>
            </w:r>
          </w:p>
        </w:tc>
        <w:tc>
          <w:tcPr>
            <w:tcW w:w="3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402, 600</w:t>
            </w:r>
          </w:p>
        </w:tc>
      </w:tr>
      <w:tr>
        <w:trPr/>
        <w:tc>
          <w:tcPr>
            <w:tcW w:w="4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sintética e testes</w:t>
            </w:r>
          </w:p>
        </w:tc>
        <w:tc>
          <w:tcPr>
            <w:tcW w:w="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  <w:tc>
          <w:tcPr>
            <w:tcW w:w="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B06–B08</w:t>
            </w:r>
          </w:p>
        </w:tc>
        <w:tc>
          <w:tcPr>
            <w:tcW w:w="3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500, 530, 450</w:t>
            </w:r>
          </w:p>
        </w:tc>
      </w:tr>
      <w:tr>
        <w:trPr/>
        <w:tc>
          <w:tcPr>
            <w:tcW w:w="4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Abertura, analíticos, estimativas, partes relacionadas</w:t>
            </w:r>
          </w:p>
        </w:tc>
        <w:tc>
          <w:tcPr>
            <w:tcW w:w="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24/10/2026</w:t>
            </w:r>
          </w:p>
        </w:tc>
        <w:tc>
          <w:tcPr>
            <w:tcW w:w="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B09</w:t>
            </w:r>
          </w:p>
        </w:tc>
        <w:tc>
          <w:tcPr>
            <w:tcW w:w="3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510, 520, 540, 550</w:t>
            </w:r>
          </w:p>
        </w:tc>
      </w:tr>
      <w:tr>
        <w:trPr/>
        <w:tc>
          <w:tcPr>
            <w:tcW w:w="4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Itens específicos, confirmações, eventos, continuidade</w:t>
            </w:r>
          </w:p>
        </w:tc>
        <w:tc>
          <w:tcPr>
            <w:tcW w:w="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24/10/2026</w:t>
            </w:r>
          </w:p>
        </w:tc>
        <w:tc>
          <w:tcPr>
            <w:tcW w:w="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B10</w:t>
            </w:r>
          </w:p>
        </w:tc>
        <w:tc>
          <w:tcPr>
            <w:tcW w:w="3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501, 505, 560, 570</w:t>
            </w:r>
          </w:p>
        </w:tc>
      </w:tr>
      <w:tr>
        <w:trPr/>
        <w:tc>
          <w:tcPr>
            <w:tcW w:w="4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Comunicações e conclusão</w:t>
            </w:r>
          </w:p>
        </w:tc>
        <w:tc>
          <w:tcPr>
            <w:tcW w:w="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25/10/2026</w:t>
            </w:r>
          </w:p>
        </w:tc>
        <w:tc>
          <w:tcPr>
            <w:tcW w:w="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B11</w:t>
            </w:r>
          </w:p>
        </w:tc>
        <w:tc>
          <w:tcPr>
            <w:tcW w:w="3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260, 265, 580; fechamento 450/500</w:t>
            </w:r>
          </w:p>
        </w:tc>
      </w:tr>
      <w:tr>
        <w:trPr/>
        <w:tc>
          <w:tcPr>
            <w:tcW w:w="4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e entrega</w:t>
            </w:r>
          </w:p>
        </w:tc>
        <w:tc>
          <w:tcPr>
            <w:tcW w:w="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25/10/2026</w:t>
            </w:r>
          </w:p>
        </w:tc>
        <w:tc>
          <w:tcPr>
            <w:tcW w:w="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B12–B13</w:t>
            </w:r>
          </w:p>
        </w:tc>
        <w:tc>
          <w:tcPr>
            <w:tcW w:w="3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transversal; Word/PDF; GitHub</w:t>
            </w:r>
          </w:p>
        </w:tc>
      </w:tr>
    </w:tbl>
    <w:p>
      <w:pPr>
        <w:pStyle w:val="BodyText"/>
        <w:rPr/>
      </w:pPr>
      <w:r>
        <w:rPr>
          <w:b/>
          <w:bCs/>
        </w:rPr>
        <w:t>4. Justificativa de prioridades e alterações</w:t>
      </w:r>
    </w:p>
    <w:p>
      <w:pPr>
        <w:pStyle w:val="BodyText"/>
        <w:rPr/>
      </w:pPr>
      <w:r>
        <w:rPr/>
        <w:t>As prioridades seguem o peso no ativo e os PAA do auditor real. O estoque recebe extensão reduzida, porque está abaixo da materialidade global e não tem risco qualitativo identificado, mas é mantido com análise fundamentada (enunciado). Alteração registrada: inclusão de R18 (renovação das concessões) e R19 (PIS/COFINS sobre ICMS) na matriz preliminar. Correção do saldo de R08 (DV17).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CPFL_B04_Planejamento_Riscos_Materialidade.xlsx; PT 315; PT 320; PT 330; DF25 p. 26–36. Referências cruzadas: todos os PTs dos blocos 05–11.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Estratégia e plano documentados; 6 programas com aplicabilidade fundamentada (estoques com extensão reduzida e justificativa).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plano direciona o esforço para as estimativas da concessão e para a receita, com abordagem substantiva compatível com a ausência de acesso a controles.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plano real de uma firma incluiria horas, equipe e datas de campo, que não se aplicam aqui. A abordagem substantiva pura é uma limitação: em uma companhia desse porte, controles seriam testados.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Estratégia global e plano de auditoria, atualizados quando necessário (itens 7–10).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Considerações sobre o plano e a natureza do trabalho.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Abordagem predominantemente substantiva e programas por ciclo.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38" w:name="__RefHeading___Toc31507_1660191972"/>
      <w:bookmarkEnd w:id="38"/>
      <w:r>
        <w:rPr/>
        <w:t>PT 315 — Identificação e avaliação dos riscos de distorção relevante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315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Identificação e avaliação dos riscos de distorção relevante. NBC TA 315 (R2) (DOU 02/09/2021; aplicável a períodos iniciados a partir de 01/01/2022 — item 10, NORMAS p. 256). Itens: 12(f) fatores de risco inerente, 12(l) risco significativo, 19 (entidade, ambiente e estrutura contábil), 21–27 (componentes do controle interno, inclusive TI — 25–26), 28–29 (riscos e afirmações relevantes), 31 (risco inerente: probabilidade e magnitude), 32 (riscos significativos), 33 (riscos em que só substantivos não bastam), 34 (risco de controle).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Compreender a entidade, o ambiente, a estrutura contábil, a TI e os controles. Elaborar a matriz de riscos por conta e afirmação e identificar riscos significativos.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Todas as classes de transações, saldos e divulgações significativas do consolidado 2025.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 matriz: 19 riscos; 4 significativos (R01, R02, R03, R16).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Memorando da entidade (seção 3 do dossiê); DF25 notas e PAA; matriz preliminar da etapa 3 (17 riscos, revista); CPFL_B04_Planejamento_Riscos_Materialidade.xlsx, aba Matriz_Riscos_315.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315-01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Entendimento da entidade, do ambiente e da estrutura contábil (item 19)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(memorando, B02)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315-02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Entendimento dos componentes do controle interno e da TI (itens 21–27)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(entendimento) / Planejado por falta de acesso (walkthroughs)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315-03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riscos e afirmações relevantes; avaliar o risco inerente por fatores (itens 28–31)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315-04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Determinar riscos significativos (item 32) e riscos em que só substantivos não bastam (item 33)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315-05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Revisar a matriz preliminar da etapa 3 com fontes primárias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saldos reconferidos; R08 corrigido (DV17); R18 e R19 incluídos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Entendimento do controle interno (itens 21–27): o que se sabe publicamente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Componente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Evidência pública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Lacuna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Ambiente de controle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Novo Mercado; Conselho de Administração, Comitê de Auditoria (regimentos de 11/11/2025 e 08/09/2026) e Conselho Fiscal (regimento de 10/05/2024) — Drive pasta 03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Cultura e tom da administração não observáveis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 de riscos da entidade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Política de Gerenciamento de Riscos publicada (Drive pasta 03); nota 33 (gestão de riscos, p. 105–107)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FR item 4 indisponível (truncado)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Sistema de informação (TI)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Faturamento por leitura e rota; estimativa por carga e perdas (nota 3.11, p. 54); a PwC usou especialistas de TI (p. 28)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Sistemas, interfaces e ITGC desconhecidos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Atividades de controle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PwC avaliou desenho e implementação de controles da receita não faturada e da bifurcação de ativos (p. 28–29)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 controle identificado diretamente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Monitoramento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Regulamento de Auditoria Interna (24/01/2024, Drive pasta 03)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Relatórios internos indisponíveis</w:t>
            </w:r>
          </w:p>
        </w:tc>
      </w:tr>
    </w:tbl>
    <w:p>
      <w:pPr>
        <w:pStyle w:val="BodyText"/>
        <w:rPr/>
      </w:pPr>
      <w:r>
        <w:rPr>
          <w:b/>
          <w:bCs/>
        </w:rPr>
        <w:t>2. Matriz de riscos (resumo; detalhes, fontes e fundamentos na planilha)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52"/>
        <w:gridCol w:w="2888"/>
        <w:gridCol w:w="746"/>
        <w:gridCol w:w="2703"/>
        <w:gridCol w:w="653"/>
        <w:gridCol w:w="652"/>
        <w:gridCol w:w="652"/>
        <w:gridCol w:w="1024"/>
      </w:tblGrid>
      <w:tr>
        <w:trPr>
          <w:tblHeader w:val="true"/>
        </w:trPr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Conta / processo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 (R$ mil)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Afirmações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Fatores*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Prob.×Magn.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Nível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Significativo?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R01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 (nota 11)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29.623.619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Avaliação; classificação; apresentação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C,S,I,V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R02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contratual (transmissão e distribuição)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12.859.523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Avaliação; exatidão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C,S,I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R03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 não faturada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1.763.858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Ocorrência; corte; exatidão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C,S,I,V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R04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 operacional líquida (demais componentes)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44.367.780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Ocorrência; corte; exatidão; classificação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C,M,V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(ver R03)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R05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Consumidores, concessionárias e permissionárias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6.377.562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Existência; avaliação (PDD)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S,I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R06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Empréstimos, financiamentos e debêntures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29.055.727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Integridade; exatidão; classificação CP/LP; divulgação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C,M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R07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Provisões fiscais, cíveis, trabalhistas e regulatórias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1.740.903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Integridade; avaliação; divulgação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S,I,V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R08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Derivativos (ativos 595.863; passivos 403.394)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595.863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Avaliação; apresentação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C,S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2×2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R09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Ativos e passivos financeiros setoriais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2.402.307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Avaliação; classificação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C,M,I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R10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Imobilizado e intangível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16.268.718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Existência; avaliação; classificação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2×2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R11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Caixa e equivalentes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2.229.320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Existência; direitos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1×2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Baixo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R12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Estoques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236.566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Existência; avaliação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1×1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Baixo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R13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Partes relacionadas e mútuos (passivo)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4.412.650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Integridade; divulgação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R14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Consolidação do grupo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81.099.930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Integridade; apresentação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R15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TI — medição, faturamento e interfaces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Integridade; exatidão; corte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R16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Burla de controles pela administração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Todas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R17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Continuidade e liquidez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Divulgação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Baixo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R18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Renovação das concessões (premissa do ativo financeiro)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Avaliação; divulgação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S,M,I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(vinculado a R01)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R19</w:t>
            </w:r>
          </w:p>
        </w:tc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PIS/COFINS sobre ICMS — créditos e devolução a consumidores</w:t>
            </w:r>
          </w:p>
        </w:tc>
        <w:tc>
          <w:tcPr>
            <w:tcW w:w="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7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Avaliação; classificação; divulgação</w:t>
            </w:r>
          </w:p>
        </w:tc>
        <w:tc>
          <w:tcPr>
            <w:tcW w:w="6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C,M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2×3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Moderado</w:t>
            </w:r>
          </w:p>
        </w:tc>
        <w:tc>
          <w:tcPr>
            <w:tcW w:w="1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</w:t>
            </w:r>
          </w:p>
        </w:tc>
      </w:tr>
    </w:tbl>
    <w:p>
      <w:pPr>
        <w:pStyle w:val="BodyText"/>
        <w:rPr/>
      </w:pPr>
      <w:r>
        <w:rPr/>
        <w:t>*C = complexidade; S = subjetividade; M = mudança; I = incerteza; V = viés/fraude (item 12(f)).</w:t>
      </w:r>
    </w:p>
    <w:p>
      <w:pPr>
        <w:pStyle w:val="BodyText"/>
        <w:rPr/>
      </w:pPr>
      <w:r>
        <w:rPr>
          <w:b/>
          <w:bCs/>
        </w:rPr>
        <w:t>3. Riscos significativos (item 32)</w:t>
      </w:r>
    </w:p>
    <w:p>
      <w:pPr>
        <w:pStyle w:val="Compact"/>
        <w:numPr>
          <w:ilvl w:val="0"/>
          <w:numId w:val="160"/>
        </w:numPr>
        <w:rPr/>
      </w:pPr>
      <w:r>
        <w:rPr>
          <w:b/>
          <w:bCs/>
        </w:rPr>
        <w:t>R01</w:t>
      </w:r>
      <w:r>
        <w:rPr/>
        <w:t xml:space="preserve"> ativo financeiro da concessão;</w:t>
      </w:r>
    </w:p>
    <w:p>
      <w:pPr>
        <w:pStyle w:val="Compact"/>
        <w:numPr>
          <w:ilvl w:val="0"/>
          <w:numId w:val="161"/>
        </w:numPr>
        <w:rPr/>
      </w:pPr>
      <w:r>
        <w:rPr>
          <w:b/>
          <w:bCs/>
        </w:rPr>
        <w:t>R02</w:t>
      </w:r>
      <w:r>
        <w:rPr/>
        <w:t xml:space="preserve"> ativo contratual;</w:t>
      </w:r>
    </w:p>
    <w:p>
      <w:pPr>
        <w:pStyle w:val="Compact"/>
        <w:numPr>
          <w:ilvl w:val="0"/>
          <w:numId w:val="162"/>
        </w:numPr>
        <w:rPr/>
      </w:pPr>
      <w:r>
        <w:rPr>
          <w:b/>
          <w:bCs/>
        </w:rPr>
        <w:t>R03</w:t>
      </w:r>
      <w:r>
        <w:rPr/>
        <w:t xml:space="preserve"> receita não faturada, que também é risco de fraude (240 item 28);</w:t>
      </w:r>
    </w:p>
    <w:p>
      <w:pPr>
        <w:pStyle w:val="Compact"/>
        <w:numPr>
          <w:ilvl w:val="0"/>
          <w:numId w:val="163"/>
        </w:numPr>
        <w:rPr/>
      </w:pPr>
      <w:r>
        <w:rPr>
          <w:b/>
          <w:bCs/>
        </w:rPr>
        <w:t>R16</w:t>
      </w:r>
      <w:r>
        <w:rPr/>
        <w:t xml:space="preserve"> burla de controles.</w:t>
      </w:r>
    </w:p>
    <w:p>
      <w:pPr>
        <w:pStyle w:val="FirstParagraph"/>
        <w:rPr/>
      </w:pPr>
      <w:r>
        <w:rPr>
          <w:b/>
          <w:bCs/>
        </w:rPr>
        <w:t>4. Riscos em que só procedimentos substantivos não bastam (item 33).</w:t>
      </w:r>
      <w:r>
        <w:rPr/>
        <w:t xml:space="preserve"> R03 e R15: a receita não faturada depende de grandes volumes de dados processados por sistemas. Numa auditoria real, isso exigiria testar ITGC e controles de interface. Neste trabalho é uma </w:t>
      </w:r>
      <w:r>
        <w:rPr>
          <w:b/>
          <w:bCs/>
        </w:rPr>
        <w:t>limitação</w:t>
      </w:r>
      <w:r>
        <w:rPr/>
        <w:t xml:space="preserve"> relevante, registrada no PT 330.</w:t>
      </w:r>
    </w:p>
    <w:p>
      <w:pPr>
        <w:pStyle w:val="BodyText"/>
        <w:rPr/>
      </w:pPr>
      <w:r>
        <w:rPr>
          <w:b/>
          <w:bCs/>
        </w:rPr>
        <w:t>5. Riscos no nível das demonstrações.</w:t>
      </w:r>
      <w:r>
        <w:rPr/>
        <w:t xml:space="preserve"> Burla de controles (R16); complexidade do grupo (R14); dependência de regulação (renovação das concessões, R18).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CPFL_B04_Planejamento_Riscos_Materialidade.xlsx (Matriz_Riscos_315); DF25 p. 27–29, 34–36, 54, 61–68, 75–85, 94–113; regimentos e políticas (Drive pasta 03). Referências cruzadas: PT 240, PT 250, PT 320, PT 330, PT 540, PT 600.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19 riscos avaliados (4 altos/significativos, 12 moderados, 3 baixos). Matriz preliminar revista: saldos conferidos com a DF25, R08 corrigido (DV17) e dois riscos novos.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Os riscos se concentram nas estimativas da concessão e na receita estimada, coerentes com os três PAA do auditor real. Sem teste de controles, o risco de distorção relevante equivale ao risco inerente (item 34).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 baseada em documentos públicos; sem walkthroughs. Pontuação por probabilidade×magnitude é uma aproximação didática do espectro. O FR truncado impediu a leitura dos fatores de risco declarados pela companhia (item 4 do FR).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Identificar e avaliar riscos de distorção relevante nos níveis das DF e das afirmações, com fatores de risco inerente (itens 12, 19–34).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Espectro de risco inerente e exemplos de fatores (apêndices).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Matriz de 19 riscos; R01, R02, R03 e R16 como significativos.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39" w:name="__RefHeading___Toc31509_1660191972"/>
      <w:bookmarkEnd w:id="39"/>
      <w:r>
        <w:rPr/>
        <w:t>PT 320 — Materialidade no planejamento e na execução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320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Materialidade no planejamento e na execução. NBC TA 320 (R1) (DOU 05/09/2016; NORMAS p. 367–378). Itens: 10 (global e específicas), 11 (execução), 12–13 (revisão), 14 (documentação), A3–A13 (referenciais; A8 cita 5% do lucro antes do imposto como exemplo).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Calcular e justificar a materialidade global, a materialidade para execução e o limite de distorções claramente triviais, e avaliar a necessidade de materialidades específicas.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consolidadas 2025 como um todo.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se aplica por afirmação; a materialidade orienta o PT 315 (saldo/MG) e o PT 330 (extensão).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Planilha e relatório metodológico da etapa 2 (reaproveitados); bases reconferidas na DF25 (B02); CPFL_B04_Planejamento_Riscos_Materialidade.xlsx, aba Materialidade.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320-01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Reconferir as bases (LAIR, receita, ativo, PL, VNR) na DF25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sem divergência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320-02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Comparar referenciais e escolher a base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320-03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Calcular global, execução e trivial com fórmulas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320-04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Analisar sensibilidade (VNR; execução 60% e 50%)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320-05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materialidades específicas (item 10)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nenhuma quantitativa (fundamento abaixo)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Referenciais comparados (R$ mil)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94"/>
        <w:gridCol w:w="1994"/>
        <w:gridCol w:w="1995"/>
        <w:gridCol w:w="1994"/>
        <w:gridCol w:w="1995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Referencial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%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Lucro antes dos tributos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8.091.246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5%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404.562,30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36/4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 líquida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44.367.780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0,5%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221.838,90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36/4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total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81.099.930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0,5%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405.499,65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34/2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Patrimônio líquido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23.504.510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1%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235.045,10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35/3</w:t>
            </w:r>
          </w:p>
        </w:tc>
      </w:tr>
    </w:tbl>
    <w:p>
      <w:pPr>
        <w:pStyle w:val="BodyText"/>
        <w:rPr/>
      </w:pPr>
      <w:r>
        <w:rPr>
          <w:b/>
          <w:bCs/>
        </w:rPr>
        <w:t>Escolha:</w:t>
      </w:r>
      <w:r>
        <w:rPr/>
        <w:t xml:space="preserve"> LAIR. A companhia é lucrativa e o lucro é estável (8.088.893 em 2024), e o lucro é a medida de foco dos acionistas de uma companhia listada. O percentual de 5% é julgamento: a NBC TA 320 item A8 o cita </w:t>
      </w:r>
      <w:r>
        <w:rPr>
          <w:b/>
          <w:bCs/>
        </w:rPr>
        <w:t>como exemplo</w:t>
      </w:r>
      <w:r>
        <w:rPr/>
        <w:t xml:space="preserve"> para entidades com fins lucrativos, não como regra.</w:t>
      </w:r>
    </w:p>
    <w:p>
      <w:pPr>
        <w:pStyle w:val="BodyText"/>
        <w:rPr/>
      </w:pPr>
      <w:r>
        <w:rPr>
          <w:b/>
          <w:bCs/>
        </w:rPr>
        <w:t>2. Valores adotados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Medida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 (R$ mil)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Critério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Materialidade global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404.562,30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5% do LAIR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Materialidade para execução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303.421,73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75% da global — julgamento aprovado na etapa 2 e validado pelo aluno em 22/10/2026 (D-B04-01)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Claramente trivial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20.228,12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5% da global (limite operacional para a NBC TA 450)</w:t>
            </w:r>
          </w:p>
        </w:tc>
      </w:tr>
    </w:tbl>
    <w:p>
      <w:pPr>
        <w:pStyle w:val="BodyText"/>
        <w:rPr/>
      </w:pPr>
      <w:r>
        <w:rPr>
          <w:b/>
          <w:bCs/>
        </w:rPr>
        <w:t>3. Sensibilidade</w:t>
      </w:r>
    </w:p>
    <w:p>
      <w:pPr>
        <w:pStyle w:val="Compact"/>
        <w:numPr>
          <w:ilvl w:val="0"/>
          <w:numId w:val="164"/>
        </w:numPr>
        <w:rPr/>
      </w:pPr>
      <w:r>
        <w:rPr/>
        <w:t>Excluindo mecanicamente o ajuste VNR (1.285.173, que é não caixa e decorre de estimativa), a global cairia para 340.303,65, uma redução de 64.258,65.</w:t>
      </w:r>
    </w:p>
    <w:p>
      <w:pPr>
        <w:pStyle w:val="Compact"/>
        <w:numPr>
          <w:ilvl w:val="0"/>
          <w:numId w:val="165"/>
        </w:numPr>
        <w:rPr/>
      </w:pPr>
      <w:r>
        <w:rPr/>
        <w:t>A execução a 60% daria 242.737,38; a 50%, 202.281,15.</w:t>
      </w:r>
    </w:p>
    <w:p>
      <w:pPr>
        <w:pStyle w:val="FirstParagraph"/>
        <w:rPr/>
      </w:pPr>
      <w:r>
        <w:rPr>
          <w:b/>
          <w:bCs/>
        </w:rPr>
        <w:t>Julgamento:</w:t>
      </w:r>
      <w:r>
        <w:rPr/>
        <w:t xml:space="preserve"> manter 75%. Não há histórico conhecido de distorções, o relatório de 2025 não tem modificação e não há reapresentação identificada. O caráter de auditoria inicial (PT 510) é o principal argumento para reduzir. Se o PT 510 revelar ajustes de abertura, a execução será revista para 60%.</w:t>
      </w:r>
    </w:p>
    <w:p>
      <w:pPr>
        <w:pStyle w:val="BodyText"/>
        <w:rPr/>
      </w:pPr>
      <w:r>
        <w:rPr>
          <w:b/>
          <w:bCs/>
        </w:rPr>
        <w:t>4. Materialidades específicas (item 10)</w:t>
      </w:r>
    </w:p>
    <w:p>
      <w:pPr>
        <w:pStyle w:val="BodyText"/>
        <w:rPr/>
      </w:pPr>
      <w:r>
        <w:rPr/>
        <w:t>Nenhuma é fixada quantitativamente. As divulgações sensíveis aos usuários, como remuneração da administração e transações com o controlador, são avaliadas qualitativamente (PT 450 e PT 550). As estimativas de maior risco recebem resposta extensiva, não materialidade menor.</w:t>
      </w:r>
    </w:p>
    <w:p>
      <w:pPr>
        <w:pStyle w:val="BodyText"/>
        <w:rPr/>
      </w:pPr>
      <w:r>
        <w:rPr>
          <w:b/>
          <w:bCs/>
        </w:rPr>
        <w:t>5. Revisão (itens 12–13)</w:t>
      </w:r>
    </w:p>
    <w:p>
      <w:pPr>
        <w:pStyle w:val="BodyText"/>
        <w:rPr/>
      </w:pPr>
      <w:r>
        <w:rPr/>
        <w:t>Gatilhos documentados na planilha: distorções acumuladas acima de 50% da execução; eventos que alterem o LAIR; ajustes de abertura.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CPFL_B04_Planejamento_Riscos_Materialidade.xlsx (aba Materialidade, 21 fórmulas); planilha e PDF da etapa 2 (Drive, MANDAR PARA O CLAUDE PRO); DF25 p. 34–36, 68. Referências cruzadas: PT 315 (coluna Saldo/MG), PT 330, PT 450, PT 510, PT 530 (erro tolerável).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Bases da etapa 2 conferidas com a DF25 sem divergência. Valores mantidos: 404.562,30 / 303.421,73 / 20.228,12.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Materialidade definida e fundamentada como julgamento, com sensibilidade e gatilhos de revisão.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Percentuais são julgamentos didáticos. A materialidade efetivamente usada pela PwC não é pública, então não houve comparação.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Determinar materialidade global, de execução e específicas e revisá-las (itens 10–14).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Referenciais e percentuais exemplificativos (A3–A13).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5% do LAIR, execução de 75% e trivial de 5% (D-B04-01, validada pelo aluno).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40" w:name="__RefHeading___Toc31511_1660191972"/>
      <w:bookmarkEnd w:id="40"/>
      <w:r>
        <w:rPr/>
        <w:t>PT 330 — Respostas do auditor aos riscos avaliados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330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Respostas do auditor aos riscos avaliados. NBC TA 330 (R1) (DOU 05/09/2016; NORMAS p. 379–403). Itens: 5 (respostas gerais), 6–7 (procedimentos adicionais por afirmação), 15 (controles sobre riscos significativos), 18 (substantivos para cada classe significativa), 19 (confirmação externa), 21 (riscos significativos: substantivos específicos), 25–27 (suficiência), 28–30 (documentação).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Relacionar cada risco avaliado a testes de controles e procedimentos substantivos, definindo natureza, época e extensão e distinguindo testes executados de planejados.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Todas as classes significativas (PT 315).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Conforme a matriz do PT 315.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CPFL_B04_Planejamento_Riscos_Materialidade.xlsx, aba Respostas_330 (33 respostas para 19 riscos).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330-01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respostas gerais no nível das demonstrações (item 5)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330-02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respostas por risco e afirmação, com natureza, época, extensão e modalidade (itens 6–7)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330-03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Garantir substantivos para cada classe significativa (item 18) e específicos para riscos significativos (item 21)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verificado na matriz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330-04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a suficiência da evidência ao final (itens 25–27)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matriz de suficiência do PT 500 (Bloco 11); insuficiente em R02, R03 e R16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Respostas gerais (item 5)</w:t>
      </w:r>
    </w:p>
    <w:p>
      <w:pPr>
        <w:pStyle w:val="Compact"/>
        <w:numPr>
          <w:ilvl w:val="0"/>
          <w:numId w:val="166"/>
        </w:numPr>
        <w:rPr/>
      </w:pPr>
      <w:r>
        <w:rPr/>
        <w:t>Ceticismo reforçado nas estimativas.</w:t>
      </w:r>
    </w:p>
    <w:p>
      <w:pPr>
        <w:pStyle w:val="Compact"/>
        <w:numPr>
          <w:ilvl w:val="0"/>
          <w:numId w:val="167"/>
        </w:numPr>
        <w:rPr/>
      </w:pPr>
      <w:r>
        <w:rPr/>
        <w:t>Reconferência de toda fonte secundária, que já identificou DV01 e DV11–DV13.</w:t>
      </w:r>
    </w:p>
    <w:p>
      <w:pPr>
        <w:pStyle w:val="Compact"/>
        <w:numPr>
          <w:ilvl w:val="0"/>
          <w:numId w:val="168"/>
        </w:numPr>
        <w:rPr/>
      </w:pPr>
      <w:r>
        <w:rPr/>
        <w:t>Imprevisibilidade: seleção amostral aleatória com semente registrada.</w:t>
      </w:r>
    </w:p>
    <w:p>
      <w:pPr>
        <w:pStyle w:val="Compact"/>
        <w:numPr>
          <w:ilvl w:val="0"/>
          <w:numId w:val="169"/>
        </w:numPr>
        <w:rPr/>
      </w:pPr>
      <w:r>
        <w:rPr/>
        <w:t xml:space="preserve">Abordagem </w:t>
      </w:r>
      <w:r>
        <w:rPr>
          <w:b/>
          <w:bCs/>
        </w:rPr>
        <w:t>substantiva</w:t>
      </w:r>
      <w:r>
        <w:rPr/>
        <w:t>, porque não há acesso a controles.</w:t>
      </w:r>
    </w:p>
    <w:p>
      <w:pPr>
        <w:pStyle w:val="FirstParagraph"/>
        <w:rPr/>
      </w:pPr>
      <w:r>
        <w:rPr>
          <w:b/>
          <w:bCs/>
        </w:rPr>
        <w:t>2. Respostas por risco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52"/>
        <w:gridCol w:w="2330"/>
        <w:gridCol w:w="1770"/>
        <w:gridCol w:w="2237"/>
        <w:gridCol w:w="2330"/>
        <w:gridCol w:w="652"/>
      </w:tblGrid>
      <w:tr>
        <w:trPr>
          <w:tblHeader w:val="true"/>
        </w:trPr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Natureza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Extensão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R01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Reexecutar a movimentação da nota 11 e conciliar com BP, DRE (ajuste VNR na receita) e DFC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 — recálculo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100% da movimentação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(B02: CC05/CC06)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R01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Testar existência e valor de bens na base de remuneração por amostragem (MUS)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 — detalhe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Amostra estatística sobre população de 500.000 registros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530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R01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método, premissas (VNR, índices) e viés; sensibilidade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 — estimativa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Premissas-chave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+ simulação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R01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Inspecionar laudos de avaliação e base de remuneração homologada pela ANEEL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 — inspeção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Distribuidoras relevantes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R02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Ler contratos de concessão e RAP; recalcular remuneração com dados públicos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Lote principal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(contratos parcialmente no Drive)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R02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Analítico: receita de remuneração/ativo contratual médio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Por segmento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R03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Recalcular receita não faturada (carga cativa × tarifas por classe)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 — recálculo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Por distribuidora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R03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Comparar faturamento de janeiro/2026 com estimativa de dezembro/2025 (corte)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 — eventos subsequentes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560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R03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Testar controles de TI (ITGC) de medição e faturamento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 de controles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Sistemas-chave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330/402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R04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de receita por componente (tarifa, CDE, construção, VNR) 2025 × 2024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Componentes da nota 26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R04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receita de construção com adições de ativo contratual (DFC 4.963.868)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R05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Circularização de grandes clientes livres (modelo)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Confirmação externa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Seleção por valor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Simulado/Planejado (modelo não enviado)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505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R05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Recálculo de PDD e análise de aging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Por distribuidora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R06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movimentação de dívida com DFC (captação 10.266.269; amortização 10.727.722)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500/570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R06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Recalcular índices de covenants com dados públicos, nas definições divulgadas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Índices consolidados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(limitado às definições disponíveis)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570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R06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Confirmação de saldos com bancos e agentes fiduciários (modelo)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Confirmação externa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Principais contratos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Simulado/Planejado (não enviado)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505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R07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Ler nota 22; analítico da movimentação; cartas de advogados (modelo)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Processos relevantes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+ modelo não enviado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501/505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R08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derivativos com nota 34 e recalcular valor justo indicativo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Principais contratos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 (curvas e contratos)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R09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da movimentação dos ativos/passivos setoriais × atos ANEEL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Por distribuidora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(parcial)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R10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de depreciação/amortização (DFC 2.397.217) sobre saldo médio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R10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Inspeção física e de documentos de adições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Amostra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R11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Confirmação bancária (modelo) e conciliações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Confirmação externa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Todas as contas relevantes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Simulado/Planejado (não enviado)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505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R11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Conferir caixa DFC × BP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(B02: CC03)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R12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Análise de aplicabilidade; inventário apenas se justificado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(análise)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R13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Mapear partes relacionadas (nota 31) e testar completude por fontes externas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Todas as partes divulgadas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(parcial; FR truncado)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550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R14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Mapear componentes e avaliar materialidade de componentes; testar eliminações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Componentes significativos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+ planejado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600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R15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Entendimento de TI (NBC TA 315 item 25–26) e controles complementares de prestadores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 de risco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Fluxos de receita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315/402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R16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 de lançamentos contábeis (240 item 33(a)): critérios de seleção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Lançamentos manuais e de fechamento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acesso; critérios aplicados na base sintética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240/530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R16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retrospectiva de estimativas (240 item 33(b))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VNR, não faturada, PDD, provisões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(comparação 2024→2025)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240/540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R16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razão de negócio de transações significativas incomuns (240 item 33(c))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Mútuos com controlador; liquidação antecipada de debêntures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(parcial)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240/550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R17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Análise de liquidez, vencimentos e covenants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Consolidado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570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R18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efeito da renovação nas premissas do ativo financeiro e classificação ajuste × divulgação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 — estimativa / eventos subsequentes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Distribuidoras renovadas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540/560</w:t>
            </w:r>
          </w:p>
        </w:tc>
      </w:tr>
      <w:tr>
        <w:trPr/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R19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Ler nota 8; conciliar ativo e passivo de PIS/COFINS; analisar compensações</w:t>
            </w:r>
          </w:p>
        </w:tc>
        <w:tc>
          <w:tcPr>
            <w:tcW w:w="1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Substantivo</w:t>
            </w:r>
          </w:p>
        </w:tc>
        <w:tc>
          <w:tcPr>
            <w:tcW w:w="2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Saldos consolidados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(parcial)</w:t>
            </w:r>
          </w:p>
        </w:tc>
        <w:tc>
          <w:tcPr>
            <w:tcW w:w="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500/520</w:t>
            </w:r>
          </w:p>
        </w:tc>
      </w:tr>
    </w:tbl>
    <w:p>
      <w:pPr>
        <w:pStyle w:val="BodyText"/>
        <w:rPr/>
      </w:pPr>
      <w:r>
        <w:rPr>
          <w:b/>
          <w:bCs/>
        </w:rPr>
        <w:t>3. Verificação de cobertura</w:t>
      </w:r>
    </w:p>
    <w:p>
      <w:pPr>
        <w:pStyle w:val="Compact"/>
        <w:numPr>
          <w:ilvl w:val="0"/>
          <w:numId w:val="170"/>
        </w:numPr>
        <w:rPr/>
      </w:pPr>
      <w:r>
        <w:rPr/>
        <w:t>Todos os 19 riscos têm pelo menos uma resposta.</w:t>
      </w:r>
    </w:p>
    <w:p>
      <w:pPr>
        <w:pStyle w:val="Compact"/>
        <w:numPr>
          <w:ilvl w:val="0"/>
          <w:numId w:val="171"/>
        </w:numPr>
        <w:rPr/>
      </w:pPr>
      <w:r>
        <w:rPr/>
        <w:t>Os 4 riscos significativos têm procedimentos substantivos específicos (item 21).</w:t>
      </w:r>
    </w:p>
    <w:p>
      <w:pPr>
        <w:pStyle w:val="Compact"/>
        <w:numPr>
          <w:ilvl w:val="0"/>
          <w:numId w:val="172"/>
        </w:numPr>
        <w:rPr/>
      </w:pPr>
      <w:r>
        <w:rPr/>
        <w:t>Toda classe significativa tem procedimento substantivo (item 18).</w:t>
      </w:r>
    </w:p>
    <w:p>
      <w:pPr>
        <w:pStyle w:val="Compact"/>
        <w:numPr>
          <w:ilvl w:val="0"/>
          <w:numId w:val="173"/>
        </w:numPr>
        <w:rPr/>
      </w:pPr>
      <w:r>
        <w:rPr/>
        <w:t xml:space="preserve">Os testes de controles foram </w:t>
      </w:r>
      <w:r>
        <w:rPr>
          <w:b/>
          <w:bCs/>
        </w:rPr>
        <w:t>planejados</w:t>
      </w:r>
      <w:r>
        <w:rPr/>
        <w:t xml:space="preserve"> para R03 e R15, onde só substantivos não bastam (315 item 33). Sem acesso, </w:t>
      </w:r>
      <w:r>
        <w:rPr>
          <w:b/>
          <w:bCs/>
        </w:rPr>
        <w:t>essa insuficiência é uma limitação do trabalho</w:t>
      </w:r>
      <w:r>
        <w:rPr/>
        <w:t>, não uma conclusão sobre os controles da CPFL.</w:t>
      </w:r>
    </w:p>
    <w:p>
      <w:pPr>
        <w:pStyle w:val="FirstParagraph"/>
        <w:rPr/>
      </w:pPr>
      <w:r>
        <w:rPr>
          <w:b/>
          <w:bCs/>
        </w:rPr>
        <w:t>4. Situação de execução em 22/10/2026</w:t>
      </w:r>
    </w:p>
    <w:p>
      <w:pPr>
        <w:pStyle w:val="Compact"/>
        <w:numPr>
          <w:ilvl w:val="0"/>
          <w:numId w:val="174"/>
        </w:numPr>
        <w:rPr/>
      </w:pPr>
      <w:r>
        <w:rPr/>
        <w:t>Executados com evidência pública: conciliações do B02 (CC01–CC07) e a reexecução da nota 11.</w:t>
      </w:r>
    </w:p>
    <w:p>
      <w:pPr>
        <w:pStyle w:val="Compact"/>
        <w:numPr>
          <w:ilvl w:val="0"/>
          <w:numId w:val="175"/>
        </w:numPr>
        <w:rPr/>
      </w:pPr>
      <w:r>
        <w:rPr/>
        <w:t>Os demais procedimentos estão planejados ou serão simulados nos blocos 05–10.</w:t>
      </w:r>
    </w:p>
    <w:p>
      <w:pPr>
        <w:pStyle w:val="FirstParagraph"/>
        <w:rPr/>
      </w:pPr>
      <w:r>
        <w:rPr>
          <w:b/>
          <w:bCs/>
        </w:rPr>
        <w:t>5. Atualização em 23/10/2026 (Bloco 08) — resposta ao risco R01 executada na base sintética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Resposta planejada (R01)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Execução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Testes de detalhes sobre a existência e a avaliação do ativo financeiro da concessão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 procedimentos integrais por computador (T1–T4) em 501.000 registros e amostragem MUS de 385 itens, ampliada em 492 itens na população residual (PT 530)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 das distorções identificadas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Distorção conhecida líquida de R$ 117,5 milhões (superavaliação), equivalente a 38,7% da materialidade de execução e 29,0% da global (PT 450)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</w:tbl>
    <w:p>
      <w:pPr>
        <w:pStyle w:val="Compact"/>
        <w:numPr>
          <w:ilvl w:val="0"/>
          <w:numId w:val="176"/>
        </w:numPr>
        <w:rPr/>
      </w:pPr>
      <w:r>
        <w:rPr/>
        <w:t>Natureza da resposta: substantiva, sem confiança em controles. Como a abordagem ao risco significativo é só substantiva, ela inclui testes de detalhes (NBC TA 330 item 21, NORMAS p. 384). A extensão segue o risco significativo: 95% de confiança e testes integrais onde o computador permite.</w:t>
      </w:r>
    </w:p>
    <w:p>
      <w:pPr>
        <w:pStyle w:val="Compact"/>
        <w:numPr>
          <w:ilvl w:val="0"/>
          <w:numId w:val="177"/>
        </w:numPr>
        <w:rPr/>
      </w:pPr>
      <w:r>
        <w:rPr/>
        <w:t xml:space="preserve">A amostra inicial </w:t>
      </w:r>
      <w:r>
        <w:rPr>
          <w:b/>
          <w:bCs/>
        </w:rPr>
        <w:t>não</w:t>
      </w:r>
      <w:r>
        <w:rPr/>
        <w:t xml:space="preserve"> bastou (o limite superior de distorção excedeu a distorção tolerável). A extensão foi ampliada antes de qualquer afirmação de suficiência, como pedem a NBC TA 330, item 26 (NORMAS p. 385), e a NBC TA 530, item 15 (p. 536).</w:t>
      </w:r>
    </w:p>
    <w:p>
      <w:pPr>
        <w:pStyle w:val="Compact"/>
        <w:numPr>
          <w:ilvl w:val="0"/>
          <w:numId w:val="178"/>
        </w:numPr>
        <w:rPr/>
      </w:pPr>
      <w:r>
        <w:rPr/>
        <w:t xml:space="preserve">Na CPFL real, a mesma resposta exigiria o cadastro de bens, a base de remuneração homologada e o laudo de VNR. Essa parte continua </w:t>
      </w:r>
      <w:r>
        <w:rPr>
          <w:b/>
          <w:bCs/>
        </w:rPr>
        <w:t>Planejado por falta de acesso</w:t>
      </w:r>
      <w:r>
        <w:rPr/>
        <w:t>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CPFL_B04_Planejamento_Riscos_Materialidade.xlsx (Respostas_330, Programas_Ciclos); CPFL_B02_Dados_Reais_2025.xlsx (Conciliacoes); CPFL_B08_Amostragem_Testes_Distorcoes.xlsx (B08). Referências cruzadas: PT 315, PT 500, PT 505, PT 520, PT 530, PT 540, PT 560, PT 570, PT 600.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33 respostas mapeadas: 19 executáveis com evidência pública (várias de forma parcial), 4 simuladas ou com modelos não enviados e 10 planejadas por falta de acesso.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 respostas são proporcionais aos riscos avaliados e ligadas a PTs. A impossibilidade de testar controles sobre a receita não faturada é a principal limitação.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Época ‘interina’ e testes de controle são apenas planejados. A suficiência da evidência só será avaliada no B11 (PT 500).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Respostas gerais e procedimentos adicionais por afirmação; procedimentos substantivos para riscos significativos (itens 5–7, 18–21); avaliar suficiência (itens 25–27).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Natureza, época e extensão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Sem teste de controles, ênfase substantiva; procedimentos dependentes de acesso classificados como planejados.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41" w:name="__RefHeading___Toc31513_1660191972"/>
      <w:bookmarkEnd w:id="41"/>
      <w:r>
        <w:rPr/>
        <w:t>PT 402 — Considerações de auditoria para entidade que utiliza organização prestadora de serviços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402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Considerações de auditoria para entidade que utiliza organização prestadora de serviços. NBC TA 402 (Res. CFC 1.215/2009; NORMAS p. 404–426). Itens: 8 (definições, inclusive controles complementares da entidade usuária), 9–11 (entendimento dos serviços), 12 (procedimentos quando o entendimento é insuficiente: relatório tipo 1 ou tipo 2, contato, visita), 13–14 (suficiência dos relatórios), 15–17 (respostas e efetividade operacional; tipo 2), 18 (organizações subcontratadas).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serviços terceirizados relevantes para as informações financeiras da CPFL e os controles complementares que a entidade usuária precisa manter. Planejar a análise de relatórios tipo 1 e tipo 2 e os procedimentos alternativos.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Previdência (obrigação atuarial 606.924; BP p. 35/3), receita e custo de energia liquidados na CCEE, ativo contratual (construção), contas a receber e caixa (arrecadação).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 e existência (previdência); ocorrência e exatidão (CCEE); existência e exatidão (construção); existência e corte (arrecadação). Risco ligado a R03, R06 e R15 do PT 315.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notas 3 (p. 47), 3.11 (p. 54), 20 (p. 85–92), 23 (p. 97); nota 13.1 (p. 70) para serviços internos do grupo; CPFL_B05_Grupo_Prestadores.xlsx, aba Prestadores_402.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402-01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prestadores e serviços citados nas notas e classificá-los como documentados ou hipóteses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402-02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Distinguir prestador que integra o sistema de informação (402) de fornecedor operacional (500) e de função interna do grupo (600)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402-03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Obter e avaliar relatórios tipo 1/tipo 2 (período, exceções, subcontratadas, controles complementares)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402-04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Procedimentos alternativos: conciliações, confirmação, relatórios do auditor do plano de previdência, especialista atuário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Prestadores identificados e tratamento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Prestador / serviço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documental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Tratamento normativo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Vivest e Fundação Família Previdência — administração dos planos e dos ativos garantidores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20 (p. 86 e 92)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NBC TA 402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processam informações (ativos do plano e dados de participantes) que entram nas DF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CCEE — contabilização e liquidação do mercado de curto prazo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3.11 (p. 54)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NBC TA 402 por analogia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os relatórios de liquidação alimentam receita e custo de energia. A existência de relatório de asseguração da CCEE não foi verificada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Agentes arrecadadores (bancos) e convênios de arrecadação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23 (p. 97); bancos são hipótese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NBC TA 402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se os arquivos de retorno bancário forem a base da baixa de recebíveis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Empreiteiras de construção (“alto grau de terceirização”)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 (p. 47)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Não é NBC TA 402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prestador operacional; evidência pela NBC TA 500 (medições e contratos)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Provedores de TI/nuvem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Hipótese (não citado na DF25)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402 se houver terceirização de ERP ou faturamento; confirmar por indagação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Serviços, Finanças, Pessoas, Supri, Atende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Entidades do grupo (nota 13.1, p. 70)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Não é NBC TA 402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funções compartilhadas tratadas no PT 600</w:t>
            </w:r>
          </w:p>
        </w:tc>
      </w:tr>
    </w:tbl>
    <w:p>
      <w:pPr>
        <w:pStyle w:val="BodyText"/>
        <w:rPr/>
      </w:pPr>
      <w:r>
        <w:rPr>
          <w:b/>
          <w:bCs/>
        </w:rPr>
        <w:t>2. Relatórios tipo 1 e tipo 2 (itens 12–17): o que seria exigido</w:t>
      </w:r>
    </w:p>
    <w:p>
      <w:pPr>
        <w:pStyle w:val="Compact"/>
        <w:numPr>
          <w:ilvl w:val="0"/>
          <w:numId w:val="179"/>
        </w:numPr>
        <w:rPr/>
      </w:pPr>
      <w:r>
        <w:rPr>
          <w:b/>
          <w:bCs/>
        </w:rPr>
        <w:t>Tipo 1</w:t>
      </w:r>
      <w:r>
        <w:rPr/>
        <w:t xml:space="preserve"> atesta o desenho e a implementação dos controles do prestador em uma data. Serve ao entendimento (item 14).</w:t>
      </w:r>
    </w:p>
    <w:p>
      <w:pPr>
        <w:pStyle w:val="Compact"/>
        <w:numPr>
          <w:ilvl w:val="0"/>
          <w:numId w:val="180"/>
        </w:numPr>
        <w:rPr/>
      </w:pPr>
      <w:r>
        <w:rPr>
          <w:b/>
          <w:bCs/>
        </w:rPr>
        <w:t>Tipo 2</w:t>
      </w:r>
      <w:r>
        <w:rPr/>
        <w:t xml:space="preserve"> atesta também a efetividade operacional ao longo de um período. Só ele serve como evidência para confiar nos controles (itens 16–17).</w:t>
      </w:r>
    </w:p>
    <w:p>
      <w:pPr>
        <w:pStyle w:val="Compact"/>
        <w:numPr>
          <w:ilvl w:val="0"/>
          <w:numId w:val="181"/>
        </w:numPr>
        <w:rPr/>
      </w:pPr>
      <w:r>
        <w:rPr/>
        <w:t>Para cada relatório seria preciso verificar:</w:t>
      </w:r>
    </w:p>
    <w:p>
      <w:pPr>
        <w:pStyle w:val="Compact"/>
        <w:numPr>
          <w:ilvl w:val="1"/>
          <w:numId w:val="182"/>
        </w:numPr>
        <w:rPr/>
      </w:pPr>
      <w:r>
        <w:rPr/>
        <w:t>a competência e a independência do auditor do prestador (item 13);</w:t>
      </w:r>
    </w:p>
    <w:p>
      <w:pPr>
        <w:pStyle w:val="Compact"/>
        <w:numPr>
          <w:ilvl w:val="1"/>
          <w:numId w:val="183"/>
        </w:numPr>
        <w:rPr/>
      </w:pPr>
      <w:r>
        <w:rPr/>
        <w:t>a cobertura do período auditado (2025) e as exceções relatadas;</w:t>
      </w:r>
    </w:p>
    <w:p>
      <w:pPr>
        <w:pStyle w:val="Compact"/>
        <w:numPr>
          <w:ilvl w:val="1"/>
          <w:numId w:val="184"/>
        </w:numPr>
        <w:rPr/>
      </w:pPr>
      <w:r>
        <w:rPr/>
        <w:t>os controles complementares que a CPFL deveria manter (item 8), por exemplo a conciliação de contribuições e o envio de cadastro à Vivest;</w:t>
      </w:r>
    </w:p>
    <w:p>
      <w:pPr>
        <w:pStyle w:val="Compact"/>
        <w:numPr>
          <w:ilvl w:val="1"/>
          <w:numId w:val="185"/>
        </w:numPr>
        <w:rPr/>
      </w:pPr>
      <w:r>
        <w:rPr/>
        <w:t>as organizações subcontratadas excluídas do relatório (item 18).</w:t>
      </w:r>
    </w:p>
    <w:p>
      <w:pPr>
        <w:pStyle w:val="FirstParagraph"/>
        <w:rPr/>
      </w:pPr>
      <w:r>
        <w:rPr>
          <w:b/>
          <w:bCs/>
        </w:rPr>
        <w:t>Nenhum relatório foi obtido. Não se afirma a existência de nenhum deles.</w:t>
      </w:r>
    </w:p>
    <w:p>
      <w:pPr>
        <w:pStyle w:val="BodyText"/>
        <w:rPr/>
      </w:pPr>
      <w:r>
        <w:rPr>
          <w:b/>
          <w:bCs/>
        </w:rPr>
        <w:t>3. Procedimentos alternativos planejados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Previdência:</w:t>
      </w:r>
      <w:r>
        <w:rPr/>
        <w:t xml:space="preserve"> relatório do auditor independente do plano, confirmação dos ativos garantidores e teste dos dados censitários com especialista atuário (NBC TA 620).</w:t>
      </w:r>
    </w:p>
    <w:p>
      <w:pPr>
        <w:pStyle w:val="Compact"/>
        <w:numPr>
          <w:ilvl w:val="0"/>
          <w:numId w:val="187"/>
        </w:numPr>
        <w:rPr/>
      </w:pPr>
      <w:r>
        <w:rPr>
          <w:b/>
          <w:bCs/>
        </w:rPr>
        <w:t>CCEE:</w:t>
      </w:r>
      <w:r>
        <w:rPr/>
        <w:t xml:space="preserve"> conciliar relatórios de liquidação com a contabilidade. Os dados abertos da CCEE no Drive só podem ser usados depois de validar a fonte (pendência P07).</w:t>
      </w:r>
    </w:p>
    <w:p>
      <w:pPr>
        <w:pStyle w:val="Compact"/>
        <w:numPr>
          <w:ilvl w:val="0"/>
          <w:numId w:val="188"/>
        </w:numPr>
        <w:rPr/>
      </w:pPr>
      <w:r>
        <w:rPr>
          <w:b/>
          <w:bCs/>
        </w:rPr>
        <w:t>Arrecadação:</w:t>
      </w:r>
      <w:r>
        <w:rPr/>
        <w:t xml:space="preserve"> conciliar arquivos de retorno com as baixas de contas a receber e fazer confirmação bancária (PT 505).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47, 54, 70, 85–92, 97; CPFL_B05_Grupo_Prestadores.xlsx (Prestadores_402). Referências cruzadas: PT 315 (R03, R15), PT 330, PT 500, PT 505, PT 540 (premissas atuariais), PT 600 (serviços compartilhados).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Seis serviços analisados: três tratados pela NBC TA 402 (previdência, CCEE e arrecadação), um como fornecedor operacional, um como hipótese de TI e um como função interna do grupo. Nenhum relatório tipo 1 ou tipo 2 disponível.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Os serviços terceirizados mais relevantes estão nos planos de previdência e na liquidação de energia. Sem relatórios de asseguração, a evidência sobre esses serviços dependeria de procedimentos alternativos, todos planejados.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FR 2025 do Drive está truncado; os itens sobre recursos e terceirização não foram lidos (DV15). A existência de terceirização de TI não foi verificada.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Entender os serviços da organização prestadora e responder aos riscos (itens 9–16).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Tipos de relatório de asseguração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Identificação de previdência e liquidação de energia como serviços relevantes.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42" w:name="__RefHeading___Toc31515_1660191972"/>
      <w:bookmarkEnd w:id="42"/>
      <w:r>
        <w:rPr/>
        <w:t>PT 450 — Avaliação das distorções identificadas — consolidação final (sintética, pública e hipóteses)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450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Avaliação das distorções identificadas — consolidação final (sintética, pública e hipóteses). NBC TA 450 (R1) (DOU 05/09/2016; NORMAS p. 427–445). Itens: 4 (definição de distorção), 5 (acumulação; p. 429), 6 (revisão da estratégia quando as distorções se aproximam da materialidade), 8 (comunicação e correção; p. 430), 10 (revisão da materialidade), 11 (relevância individual e em conjunto); A2–A6 (claramente trivial; distorção factual, de julgamento e projetada; p. 433–434).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Acumular e avaliar as distorções identificadas na base sintética do ativo financeiro da concessão, frente à materialidade aprovada (D-B04-01), e definir o tratamento: comunicação, correção e efeito na estratégia.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 (simulado) e contrapartida no resultado (ajuste a valor justo e baixas, nota 11 p. 68; receita, nota 26).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Existência, avaliação e classificação (R01).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Resultados do PT 530: T1–T4 e MUS ampliado; CPFL_B08_Amostragem_Testes_Distorcoes.xlsx, aba PT450_Distorcoes.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450-01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Acumular as distorções que não sejam claramente triviais, avaliando individualmente e em conjunto (A2)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450-02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Classificar como factual, de julgamento ou projetada (A6)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450-03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Comparar com a materialidade e verificar o gatilho de D-B04-01 (item 6)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450-04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Comunicar à administração e solicitar correção (item 8)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 (nenhuma comunicação enviada)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450-05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Consolidar com as distorções dos demais PTs e avaliar o efeito nas DF (itens 10–11)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(consolidação) / Simulado para fins didáticos (parcela sintética)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Acumulação (item 5 e A2)</w:t>
      </w:r>
    </w:p>
    <w:p>
      <w:pPr>
        <w:pStyle w:val="BodyText"/>
        <w:rPr/>
      </w:pPr>
      <w:r>
        <w:rPr/>
        <w:t>Cada distorção individual é menor que o limite de trivialidade (R$ 20.228.120), porque o maior item da base tem cerca de R$ 3,6 milhões. Em conjunto, porém, as classes não são triviais, e A2 exige julgamento “individualmente ou em conjunto”. Por isso as classes são acumuladas: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62"/>
        <w:gridCol w:w="2216"/>
        <w:gridCol w:w="2215"/>
        <w:gridCol w:w="2216"/>
        <w:gridCol w:w="1663"/>
      </w:tblGrid>
      <w:tr>
        <w:trPr>
          <w:tblHeader w:val="true"/>
        </w:trPr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Classe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 (R$)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% da execução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% da global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Tipo (A6)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Duplicidades (T1)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59.975.200,49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19,8%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14,8%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Factual (na simulação)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Bens baixados mantidos (T2)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56.070.250,89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18,5%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13,9%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Factual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Superavaliação de valor (T3+)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8.250.695,88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2,7%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2,0%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Factual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Subavaliação de valor (T3−)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(6.811.809,08)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(2,2%)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(1,7%)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Factual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Classificação de categoria (T4)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Por natureza (A5)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Distorção líquida acumulada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117.484.338,18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38,7%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29,0%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Superavaliação</w:t>
            </w:r>
          </w:p>
        </w:tc>
      </w:tr>
    </w:tbl>
    <w:p>
      <w:pPr>
        <w:pStyle w:val="Compact"/>
        <w:numPr>
          <w:ilvl w:val="0"/>
          <w:numId w:val="189"/>
        </w:numPr>
        <w:rPr/>
      </w:pPr>
      <w:r>
        <w:rPr/>
        <w:t xml:space="preserve">Não há distorção </w:t>
      </w:r>
      <w:r>
        <w:rPr>
          <w:b/>
          <w:bCs/>
        </w:rPr>
        <w:t>projetada</w:t>
      </w:r>
      <w:r>
        <w:rPr/>
        <w:t xml:space="preserve"> a acumular: as classes foram identificadas em 100% da população. A margem do UML residual (R$ 178,9 milhões) é </w:t>
      </w:r>
      <w:r>
        <w:rPr>
          <w:b/>
          <w:bCs/>
        </w:rPr>
        <w:t>risco de amostragem</w:t>
      </w:r>
      <w:r>
        <w:rPr/>
        <w:t>, não distorção.</w:t>
      </w:r>
    </w:p>
    <w:p>
      <w:pPr>
        <w:pStyle w:val="Compact"/>
        <w:numPr>
          <w:ilvl w:val="0"/>
          <w:numId w:val="190"/>
        </w:numPr>
        <w:rPr/>
      </w:pPr>
      <w:r>
        <w:rPr/>
        <w:t xml:space="preserve">Não há distorção </w:t>
      </w:r>
      <w:r>
        <w:rPr>
          <w:b/>
          <w:bCs/>
        </w:rPr>
        <w:t>de julgamento</w:t>
      </w:r>
      <w:r>
        <w:rPr/>
        <w:t xml:space="preserve"> na parcela simulada. A avaliação das premissas de VNR fica no PT 540.</w:t>
      </w:r>
    </w:p>
    <w:p>
      <w:pPr>
        <w:pStyle w:val="FirstParagraph"/>
        <w:rPr/>
      </w:pPr>
      <w:r>
        <w:rPr>
          <w:b/>
          <w:bCs/>
        </w:rPr>
        <w:t>2. Efeito na estratégia (item 6) e na materialidade</w:t>
      </w:r>
    </w:p>
    <w:p>
      <w:pPr>
        <w:pStyle w:val="Compact"/>
        <w:numPr>
          <w:ilvl w:val="0"/>
          <w:numId w:val="191"/>
        </w:numPr>
        <w:rPr/>
      </w:pPr>
      <w:r>
        <w:rPr/>
        <w:t>A superavaliação bruta (R$ 124,3 milhões) é 41,0% da materialidade de execução, abaixo do gatilho de 50% de D-B04-01. A materialidade de execução fica mantida em 75%.</w:t>
      </w:r>
    </w:p>
    <w:p>
      <w:pPr>
        <w:pStyle w:val="Compact"/>
        <w:numPr>
          <w:ilvl w:val="0"/>
          <w:numId w:val="192"/>
        </w:numPr>
        <w:rPr/>
      </w:pPr>
      <w:r>
        <w:rPr/>
        <w:t>Somando a margem de amostragem, chega-se a R$ 303,2 milhões, ou 99,9% da execução e 74,9% da global. Isso caracteriza aproximação da materialidade (item 6(b)). Resposta: solicitar a correção da distorção conhecida e reavaliar no Bloco 11 com as distorções dos demais PTs.</w:t>
      </w:r>
    </w:p>
    <w:p>
      <w:pPr>
        <w:pStyle w:val="Compact"/>
        <w:numPr>
          <w:ilvl w:val="0"/>
          <w:numId w:val="193"/>
        </w:numPr>
        <w:rPr/>
      </w:pPr>
      <w:r>
        <w:rPr/>
        <w:t>Se a contrapartida for o resultado, o efeito no LAIR é de 1,45% (LAIR de R$ 8.091.246 mil, DF25 DRE p. 36/4).</w:t>
      </w:r>
    </w:p>
    <w:p>
      <w:pPr>
        <w:pStyle w:val="FirstParagraph"/>
        <w:rPr/>
      </w:pPr>
      <w:r>
        <w:rPr>
          <w:b/>
          <w:bCs/>
        </w:rPr>
        <w:t>3. Comunicação e correção (item 8)</w:t>
      </w:r>
    </w:p>
    <w:p>
      <w:pPr>
        <w:pStyle w:val="BodyText"/>
        <w:rPr/>
      </w:pPr>
      <w:r>
        <w:rPr/>
        <w:t xml:space="preserve">Na auditoria real, as distorções seriam comunicadas tempestivamente à administração, com pedido de correção. Isso abrangeria a baixa dos registros duplicados e dos bens baixados e o ajuste dos valores recalculados. </w:t>
      </w:r>
      <w:r>
        <w:rPr>
          <w:b/>
          <w:bCs/>
        </w:rPr>
        <w:t>Nenhuma comunicação foi enviada à CPFL</w:t>
      </w:r>
      <w:r>
        <w:rPr/>
        <w:t xml:space="preserve"> (Planejado por falta de acesso). Se a administração recusasse a correção, as razões seriam obtidas e avaliadas (item 9).</w:t>
      </w:r>
    </w:p>
    <w:p>
      <w:pPr>
        <w:pStyle w:val="BodyText"/>
        <w:rPr/>
      </w:pPr>
      <w:r>
        <w:rPr>
          <w:b/>
          <w:bCs/>
        </w:rPr>
        <w:t>4. Classificação (A5)</w:t>
      </w:r>
    </w:p>
    <w:p>
      <w:pPr>
        <w:pStyle w:val="BodyText"/>
        <w:rPr/>
      </w:pPr>
      <w:r>
        <w:rPr/>
        <w:t>A categoria do bem não é divulgada nas DF, então a classificação incorreta não altera o saldo nem a divulgação. Ela indica uma fragilidade de cadastro, que seria comunicada como possível deficiência de controle (PT 265, Bloco 11).</w:t>
      </w:r>
    </w:p>
    <w:p>
      <w:pPr>
        <w:pStyle w:val="BodyText"/>
        <w:rPr/>
      </w:pPr>
      <w:r>
        <w:rPr>
          <w:b/>
          <w:bCs/>
        </w:rPr>
        <w:t>5. Fechamento em 23/10/2026 (Bloco 11): consolidação com os demais PTs (itens 10–11)</w:t>
      </w:r>
    </w:p>
    <w:p>
      <w:pPr>
        <w:pStyle w:val="BodyText"/>
        <w:rPr/>
      </w:pPr>
      <w:r>
        <w:rPr/>
        <w:t>Distorções e divergências por origem (detalhe na aba PT450_Consolidado da planilha B11):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01"/>
        <w:gridCol w:w="2301"/>
        <w:gridCol w:w="3068"/>
        <w:gridCol w:w="2301"/>
      </w:tblGrid>
      <w:tr>
        <w:trPr>
          <w:tblHeader w:val="true"/>
        </w:trPr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Origem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Itens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 (R$ mil)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Tratamento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Real, sustentada por evidência pública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Nenhuma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Nada a acumular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Sintética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DS-01 a DS-05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117.484 líquido (124.296 bruto)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Acumulada só na simulação; igual ao PT 530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Hipótese dependente de acesso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DH-01 IRRF Jantus (139.291); DH-02 VNR acima da expectativa (139.479)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Não acumuladas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não há base para afirmar distorção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Qualitativa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DQ-01 divulgação da renovação (nota 1.3)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Assunto para a governança (PT 260)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Do preparador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DX-01 transcrição (DV01, DV11–DV13, DV17, DV18); DX-02 arredondamento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Excluídas: não são da companhia</w:t>
            </w:r>
          </w:p>
        </w:tc>
      </w:tr>
    </w:tbl>
    <w:p>
      <w:pPr>
        <w:pStyle w:val="Compact"/>
        <w:numPr>
          <w:ilvl w:val="0"/>
          <w:numId w:val="194"/>
        </w:numPr>
        <w:rPr/>
      </w:pPr>
      <w:r>
        <w:rPr>
          <w:b/>
          <w:bCs/>
        </w:rPr>
        <w:t>Sem dupla contagem.</w:t>
      </w:r>
      <w:r>
        <w:rPr/>
        <w:t xml:space="preserve"> As exceções do MUS não são somadas às dos testes integrais, porque são os mesmos registros. A UML residual é risco de amostragem e não entra na soma.</w:t>
      </w:r>
    </w:p>
    <w:p>
      <w:pPr>
        <w:pStyle w:val="Compact"/>
        <w:numPr>
          <w:ilvl w:val="0"/>
          <w:numId w:val="195"/>
        </w:numPr>
        <w:rPr/>
      </w:pPr>
      <w:r>
        <w:rPr>
          <w:b/>
          <w:bCs/>
        </w:rPr>
        <w:t>Hipóteses somadas</w:t>
      </w:r>
      <w:r>
        <w:rPr/>
        <w:t xml:space="preserve"> (DH-01 + DH-02 = 278.770 = 92% da execução e 69% da global) ficam abaixo da global mesmo no pior caso. Ainda assim, são o principal risco remanescente, e a conclusão depende de investigá-las.</w:t>
      </w:r>
    </w:p>
    <w:p>
      <w:pPr>
        <w:pStyle w:val="Compact"/>
        <w:numPr>
          <w:ilvl w:val="0"/>
          <w:numId w:val="196"/>
        </w:numPr>
        <w:rPr/>
      </w:pPr>
      <w:r>
        <w:rPr>
          <w:b/>
          <w:bCs/>
        </w:rPr>
        <w:t>Materialidade (item 10):</w:t>
      </w:r>
      <w:r>
        <w:rPr/>
        <w:t xml:space="preserve"> não revista. Os referenciais (DF25 p. 34–36) não mudaram.</w:t>
      </w:r>
    </w:p>
    <w:p>
      <w:pPr>
        <w:pStyle w:val="Compact"/>
        <w:numPr>
          <w:ilvl w:val="0"/>
          <w:numId w:val="197"/>
        </w:numPr>
        <w:rPr/>
      </w:pPr>
      <w:r>
        <w:rPr>
          <w:b/>
          <w:bCs/>
        </w:rPr>
        <w:t>Relevância individual e em conjunto (item 11):</w:t>
      </w:r>
      <w:r>
        <w:rPr/>
        <w:t xml:space="preserve"> nenhuma distorção real; a simulada não é relevante frente à global (29,0%).</w:t>
      </w:r>
    </w:p>
    <w:p>
      <w:pPr>
        <w:pStyle w:val="Compact"/>
        <w:numPr>
          <w:ilvl w:val="0"/>
          <w:numId w:val="198"/>
        </w:numPr>
        <w:rPr/>
      </w:pPr>
      <w:r>
        <w:rPr>
          <w:b/>
          <w:bCs/>
        </w:rPr>
        <w:t>Representação (item 14):</w:t>
      </w:r>
      <w:r>
        <w:rPr/>
        <w:t xml:space="preserve"> prevista na minuta do PT 580.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CPFL_B08_Amostragem_Testes_Distorcoes.xlsx (Testes_100, Ampliacao, PT450_Distorcoes); PT 530; DF25 p. 36 e 68; D-B04-01. Referências cruzadas: PT 260, PT 265, PT 320, PT 540, PT 580. Bloco 11: CPFL_B11_Comunicacoes_Distorcoes_Evidencia.xlsx (PT450_Consolidado).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Nenhuma distorção real da CPFL sustentada por evidência pública. Distorção sintética líquida de R$ 117,5 milhões (38,7% da execução), acumulada só na simulação. Duas hipóteses (IRRF Jantus e VNR) não acumuladas, somando 69% da global no pior caso. Divergências do preparador excluídas.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foram identificadas distorções reais a acumular. As distorções sintéticas não são relevantes frente à global e seriam comunicadas com pedido de correção. As hipóteses DH-01 e DH-02 são o risco remanescente e dependem de acesso. Não é conclusão sobre a CPFL.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Distorções da base sintética, sem relação com a CPFL real. Nenhuma comunicação foi enviada. A contrapartida contábil é presumida (resultado), para fins de ordem de grandeza.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Acumular distorções não triviais, comunicá-las e avaliar se são relevantes, individualmente ou em conjunto (itens 5–11).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Tipos de distorção — factual, de julgamento, projetada (A6).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Hipóteses não acumuladas; distorção sintética acumulada só na simulação (D-B11-01).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43" w:name="__RefHeading___Toc31517_1660191972"/>
      <w:bookmarkEnd w:id="43"/>
      <w:r>
        <w:rPr/>
        <w:t>PT 500 — Evidência de auditoria — base sintética, conciliação e matriz de suficiência por afirmação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24/10/2026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500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Evidência de auditoria — base sintética, conciliação e matriz de suficiência por afirmação. NBC TA 500 (R1) (DOU 05/09/2016; NORMAS p. 446–450). Itens: 5 (definições: registros contábeis, adequação, suficiência), 6 (procedimentos apropriados), 7 (relevância e confiabilidade), 9 (informações produzidas pela entidade: exatidão, integridade, precisão e detalhamento; p. 449), 10 (seleção de itens), 11 (inconsistências). Apoio: NBC TA 530 e 450 (Bloco 08) e NBC TA 540 (R2) (Bloco 09).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se a população que sustenta o ativo financeiro da concessão (R$ 29.623.619 mil) é exata, íntegra e detalhada o bastante para os testes do Bloco 08. Documentar a base sintética que substitui o cadastro real inacessível e registrar o que a simulação pode e não pode demonstrar.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 (consolidado, não circulante): R$ 29.623.619 mil, 36,5% do ativo total (DF25 BP p. 34; nota 11 p. 68). Composição por distribuidora nas DFs individuais (Paulista, RGE, Piratininga) e por diferença (Santa Cruz).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Existência, direitos, avaliação e classificação (risco significativo R01 do PT 315; PAA 3 da PwC, DF25 p. 29). Neste bloco: integridade e exatidão da informação produzida pela entidade (item 9), como pré-condição dos testes.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SINTÉTICA v2: 501.000 registros (500.000 bens de referência + 1.000 linhas adicionais previstas no desenho), arquivo CPFL_SINTETICA_Base_AFC_2025_registrada.csv.gz, SHA-256 877d4a02…4bb0. Projeto: CPFL_B06_Projeto_Base_Sintetica.pdf. Conciliação: CPFL_B07_Conciliacao_Verificacoes_Base.xlsx.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Reexecutar a movimentação da nota 11 e conciliar com BP, DRE e DFC (B02, CC05/CC06)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os saldos das quatro distribuidoras com o consolidado (3 DFs individuais + Santa Cruz por diferença, provada pela movimentação)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Gerar a base sintética com semente fixa e reproduzi-la em pasta limpa (mesmo hash)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a base com o saldo publicado, no total e por distribuidora (diferença R$ 0,00)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Testar a integridade da listagem: contagem, chaves, domínios, datas, precisão, vazios, coerência agregada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Obter o cadastro real de bens e a base de remuneração homologada pela ANEEL e conciliar com o razão e o laudo de VNR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500-07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o especialista da administração (laudo de avaliação) — itens 8 e A34–A48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Por que uma base sintética e o que ela substitui</w:t>
      </w:r>
    </w:p>
    <w:p>
      <w:pPr>
        <w:pStyle w:val="Compact"/>
        <w:numPr>
          <w:ilvl w:val="0"/>
          <w:numId w:val="199"/>
        </w:numPr>
        <w:rPr/>
      </w:pPr>
      <w:r>
        <w:rPr>
          <w:b/>
          <w:bCs/>
        </w:rPr>
        <w:t>Na auditoria real</w:t>
      </w:r>
      <w:r>
        <w:rPr/>
        <w:t xml:space="preserve">, o auditor receberia da CPFL a listagem dos bens que compõem a base de remuneração e o cálculo do direito de indenização (DF25 nota 4, p. 59). Essa listagem é </w:t>
      </w:r>
      <w:r>
        <w:rPr>
          <w:b/>
          <w:bCs/>
        </w:rPr>
        <w:t>informação produzida pela entidade</w:t>
      </w:r>
      <w:r>
        <w:rPr/>
        <w:t xml:space="preserve">. Antes de usá-la, o auditor precisa testar se ela é </w:t>
      </w:r>
      <w:r>
        <w:rPr>
          <w:b/>
          <w:bCs/>
        </w:rPr>
        <w:t>exata e íntegra</w:t>
      </w:r>
      <w:r>
        <w:rPr/>
        <w:t xml:space="preserve"> (item 9(a)) e </w:t>
      </w:r>
      <w:r>
        <w:rPr>
          <w:b/>
          <w:bCs/>
        </w:rPr>
        <w:t>precisa e detalhada</w:t>
      </w:r>
      <w:r>
        <w:rPr/>
        <w:t xml:space="preserve"> o bastante (item 9(b)).</w:t>
      </w:r>
    </w:p>
    <w:p>
      <w:pPr>
        <w:pStyle w:val="Compact"/>
        <w:numPr>
          <w:ilvl w:val="0"/>
          <w:numId w:val="200"/>
        </w:numPr>
        <w:rPr/>
      </w:pPr>
      <w:r>
        <w:rPr>
          <w:b/>
          <w:bCs/>
        </w:rPr>
        <w:t>Neste trabalho</w:t>
      </w:r>
      <w:r>
        <w:rPr/>
        <w:t xml:space="preserve"> não há acesso ao cadastro. A base sintética faz o papel dessa listagem para que os procedimentos de conciliação, amostragem e avaliação de distorções possam ser executados (Simulado para fins didáticos).</w:t>
      </w:r>
    </w:p>
    <w:p>
      <w:pPr>
        <w:pStyle w:val="FirstParagraph"/>
        <w:rPr/>
      </w:pPr>
      <w:r>
        <w:rPr>
          <w:b/>
          <w:bCs/>
        </w:rPr>
        <w:t>2. Evidência real que ancora a simulação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01"/>
        <w:gridCol w:w="3068"/>
        <w:gridCol w:w="2301"/>
        <w:gridCol w:w="2301"/>
      </w:tblGrid>
      <w:tr>
        <w:trPr>
          <w:tblHeader w:val="true"/>
        </w:trPr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 (R$ mil)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 consolidado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29.623.619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BP p. 34; nota 11 p. 68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12.617.237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Paulista, nota 11, p. 29 (impressa)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RGE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12.734.234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RGE, nota 11, p. 31 (impressa)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Piratininga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3.836.600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Piratininga, nota 11, p. 29 (impressa)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Santa Cruz</w:t>
            </w:r>
          </w:p>
        </w:tc>
        <w:tc>
          <w:tcPr>
            <w:tcW w:w="3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435.548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Por diferença; reconstruída pela movimentação: 435.547 (±1, arredondamento)</w:t>
            </w:r>
          </w:p>
        </w:tc>
        <w:tc>
          <w:tcPr>
            <w:tcW w:w="2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(cálculo)</w:t>
            </w:r>
          </w:p>
        </w:tc>
      </w:tr>
    </w:tbl>
    <w:p>
      <w:pPr>
        <w:pStyle w:val="BodyText"/>
        <w:rPr/>
      </w:pPr>
      <w:r>
        <w:rPr/>
        <w:t>A movimentação de 2025 da Santa Cruz foi obtida como consolidado menos as três DFs individuais:</w:t>
      </w:r>
    </w:p>
    <w:p>
      <w:pPr>
        <w:pStyle w:val="Compact"/>
        <w:numPr>
          <w:ilvl w:val="0"/>
          <w:numId w:val="201"/>
        </w:numPr>
        <w:rPr/>
      </w:pPr>
      <w:r>
        <w:rPr/>
        <w:t>saldo de 2024: 249.934;</w:t>
      </w:r>
    </w:p>
    <w:p>
      <w:pPr>
        <w:pStyle w:val="Compact"/>
        <w:numPr>
          <w:ilvl w:val="0"/>
          <w:numId w:val="202"/>
        </w:numPr>
        <w:rPr/>
      </w:pPr>
      <w:r>
        <w:rPr/>
        <w:t>VNR: 9.193;</w:t>
      </w:r>
    </w:p>
    <w:p>
      <w:pPr>
        <w:pStyle w:val="Compact"/>
        <w:numPr>
          <w:ilvl w:val="0"/>
          <w:numId w:val="203"/>
        </w:numPr>
        <w:rPr/>
      </w:pPr>
      <w:r>
        <w:rPr/>
        <w:t>transferências do ativo contratual: 178.783;</w:t>
      </w:r>
    </w:p>
    <w:p>
      <w:pPr>
        <w:pStyle w:val="Compact"/>
        <w:numPr>
          <w:ilvl w:val="0"/>
          <w:numId w:val="204"/>
        </w:numPr>
        <w:rPr/>
      </w:pPr>
      <w:r>
        <w:rPr/>
        <w:t>transferências para o intangível: (989);</w:t>
      </w:r>
    </w:p>
    <w:p>
      <w:pPr>
        <w:pStyle w:val="Compact"/>
        <w:numPr>
          <w:ilvl w:val="0"/>
          <w:numId w:val="205"/>
        </w:numPr>
        <w:rPr/>
      </w:pPr>
      <w:r>
        <w:rPr/>
        <w:t>baixas: (1.374).</w:t>
      </w:r>
    </w:p>
    <w:p>
      <w:pPr>
        <w:pStyle w:val="FirstParagraph"/>
        <w:rPr/>
      </w:pPr>
      <w:r>
        <w:rPr/>
        <w:t>O resultado confirma que não há eliminações de consolidação relevantes nesta conta.</w:t>
      </w:r>
    </w:p>
    <w:p>
      <w:pPr>
        <w:pStyle w:val="BodyText"/>
        <w:rPr/>
      </w:pPr>
      <w:r>
        <w:rPr>
          <w:b/>
          <w:bCs/>
        </w:rPr>
        <w:t>3. Conciliação e integridade da base (leitura do arquivo salvo)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Verificação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Critério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Linhas de dados / IDs únicos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501.000 / 501.000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Igual ao desenho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Falhas de formato, domínio, data, precisão, intervalo (16 testes)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 da base − saldo do BP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R$ 0,00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R$ 0,00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Diferença por distribuidora (4)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R$ 0,00 em todas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R$ 0,00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Mediana de valor ÷ (VNR × fator × residual)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Igual ao fator de escala divulgado (desvio &lt; 0,000001)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Coerência agregada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Reprodução em pasta limpa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 arquivos com hash idêntico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Igual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id_bem_tecnico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repetidos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 pares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Exceção prevista no desenho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será investigada no PT 530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Registros BAIXADO com valor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Exceção prevista no desenho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será investigada no PT 530</w:t>
            </w:r>
          </w:p>
        </w:tc>
      </w:tr>
    </w:tbl>
    <w:p>
      <w:pPr>
        <w:pStyle w:val="BodyText"/>
        <w:rPr/>
      </w:pPr>
      <w:r>
        <w:rPr/>
        <w:t xml:space="preserve">As duas últimas linhas </w:t>
      </w:r>
      <w:r>
        <w:rPr>
          <w:b/>
          <w:bCs/>
        </w:rPr>
        <w:t>não são falhas de geração</w:t>
      </w:r>
      <w:r>
        <w:rPr/>
        <w:t>. São exceções que o desenho insere de propósito e que os testes do Bloco 08 precisam tratar como achados.</w:t>
      </w:r>
    </w:p>
    <w:p>
      <w:pPr>
        <w:pStyle w:val="BodyText"/>
        <w:rPr/>
      </w:pPr>
      <w:r>
        <w:rPr/>
        <w:t>Super e subavaliação e classificação incorreta não aparecem nas verificações estruturais. Elas dependem do recálculo e dos testes analíticos do Bloco 08.</w:t>
      </w:r>
    </w:p>
    <w:p>
      <w:pPr>
        <w:pStyle w:val="BodyText"/>
        <w:rPr/>
      </w:pPr>
      <w:r>
        <w:rPr>
          <w:b/>
          <w:bCs/>
        </w:rPr>
        <w:t>4. Relevância e confiabilidade (itens 7 e 9)</w:t>
      </w:r>
    </w:p>
    <w:p>
      <w:pPr>
        <w:pStyle w:val="Compact"/>
        <w:numPr>
          <w:ilvl w:val="0"/>
          <w:numId w:val="206"/>
        </w:numPr>
        <w:rPr/>
      </w:pPr>
      <w:r>
        <w:rPr>
          <w:b/>
          <w:bCs/>
        </w:rPr>
        <w:t>O que está demonstrado.</w:t>
      </w:r>
      <w:r>
        <w:rPr/>
        <w:t xml:space="preserve"> A conciliação prova apenas que a </w:t>
      </w:r>
      <w:r>
        <w:rPr>
          <w:b/>
          <w:bCs/>
        </w:rPr>
        <w:t>listagem soma o razão</w:t>
      </w:r>
      <w:r>
        <w:rPr/>
        <w:t xml:space="preserve">. Ela </w:t>
      </w:r>
      <w:r>
        <w:rPr>
          <w:b/>
          <w:bCs/>
        </w:rPr>
        <w:t>não</w:t>
      </w:r>
      <w:r>
        <w:rPr/>
        <w:t xml:space="preserve"> prova existência, titularidade nem mensuração. O fechamento com o saldo publicado é uma restrição matemática da simulação, imposta por um fator de escala único e divulgado por distribuidora (1,27 a 1,34).</w:t>
      </w:r>
    </w:p>
    <w:p>
      <w:pPr>
        <w:pStyle w:val="Compact"/>
        <w:numPr>
          <w:ilvl w:val="0"/>
          <w:numId w:val="207"/>
        </w:numPr>
        <w:rPr/>
      </w:pPr>
      <w:r>
        <w:rPr>
          <w:b/>
          <w:bCs/>
        </w:rPr>
        <w:t>O que seria exigido na auditoria real:</w:t>
      </w:r>
    </w:p>
    <w:p>
      <w:pPr>
        <w:pStyle w:val="Compact"/>
        <w:numPr>
          <w:ilvl w:val="1"/>
          <w:numId w:val="208"/>
        </w:numPr>
        <w:rPr/>
      </w:pPr>
      <w:r>
        <w:rPr/>
        <w:t>conciliar a listagem com o razão e com a base de remuneração homologada pela ANEEL;</w:t>
      </w:r>
    </w:p>
    <w:p>
      <w:pPr>
        <w:pStyle w:val="Compact"/>
        <w:numPr>
          <w:ilvl w:val="1"/>
          <w:numId w:val="209"/>
        </w:numPr>
        <w:rPr/>
      </w:pPr>
      <w:r>
        <w:rPr/>
        <w:t>testar os controles de cadastro de bens (unitização e baixas);</w:t>
      </w:r>
    </w:p>
    <w:p>
      <w:pPr>
        <w:pStyle w:val="Compact"/>
        <w:numPr>
          <w:ilvl w:val="1"/>
          <w:numId w:val="210"/>
        </w:numPr>
        <w:rPr/>
      </w:pPr>
      <w:r>
        <w:rPr/>
        <w:t>avaliar o especialista que calcula o VNR;</w:t>
      </w:r>
    </w:p>
    <w:p>
      <w:pPr>
        <w:pStyle w:val="Compact"/>
        <w:numPr>
          <w:ilvl w:val="1"/>
          <w:numId w:val="211"/>
        </w:numPr>
        <w:rPr/>
      </w:pPr>
      <w:r>
        <w:rPr/>
        <w:t>inspecionar fisicamente uma amostra de bens.</w:t>
      </w:r>
    </w:p>
    <w:p>
      <w:pPr>
        <w:pStyle w:val="Compact"/>
        <w:numPr>
          <w:ilvl w:val="0"/>
          <w:numId w:val="212"/>
        </w:numPr>
        <w:rPr/>
      </w:pPr>
      <w:r>
        <w:rPr>
          <w:b/>
          <w:bCs/>
        </w:rPr>
        <w:t>Confiabilidade das fontes:</w:t>
      </w:r>
      <w:r>
        <w:rPr/>
        <w:t xml:space="preserve"> DF auditadas pela PwC, com relatório sem modificação (DF25 p. 26–32), formam a evidência externa e documental de maior confiabilidade disponível. A base sintética não tem valor probatório sobre a CPFL.</w:t>
      </w:r>
    </w:p>
    <w:p>
      <w:pPr>
        <w:pStyle w:val="FirstParagraph"/>
        <w:rPr/>
      </w:pPr>
      <w:r>
        <w:rPr>
          <w:b/>
          <w:bCs/>
        </w:rPr>
        <w:t>5. Controle de independência entre geração e teste</w:t>
      </w:r>
    </w:p>
    <w:p>
      <w:pPr>
        <w:pStyle w:val="Compact"/>
        <w:numPr>
          <w:ilvl w:val="0"/>
          <w:numId w:val="213"/>
        </w:numPr>
        <w:rPr/>
      </w:pPr>
      <w:r>
        <w:rPr>
          <w:b/>
          <w:bCs/>
        </w:rPr>
        <w:t>Pasta reservada.</w:t>
      </w:r>
      <w:r>
        <w:rPr/>
        <w:t xml:space="preserve"> O registro de erros, a base de referência e a ponte de efeitos estão em pasta reservada. Eles </w:t>
      </w:r>
      <w:r>
        <w:rPr>
          <w:b/>
          <w:bCs/>
        </w:rPr>
        <w:t>não foram lidos</w:t>
      </w:r>
      <w:r>
        <w:rPr/>
        <w:t xml:space="preserve"> neste bloco e têm os hashes registrados:</w:t>
      </w:r>
    </w:p>
    <w:p>
      <w:pPr>
        <w:pStyle w:val="Compact"/>
        <w:numPr>
          <w:ilvl w:val="1"/>
          <w:numId w:val="214"/>
        </w:numPr>
        <w:rPr/>
      </w:pPr>
      <w:r>
        <w:rPr/>
        <w:t>registro de erros 45e3ec3e…;</w:t>
      </w:r>
    </w:p>
    <w:p>
      <w:pPr>
        <w:pStyle w:val="Compact"/>
        <w:numPr>
          <w:ilvl w:val="1"/>
          <w:numId w:val="215"/>
        </w:numPr>
        <w:rPr/>
      </w:pPr>
      <w:r>
        <w:rPr/>
        <w:t>referência 48652ae2…;</w:t>
      </w:r>
    </w:p>
    <w:p>
      <w:pPr>
        <w:pStyle w:val="Compact"/>
        <w:numPr>
          <w:ilvl w:val="1"/>
          <w:numId w:val="216"/>
        </w:numPr>
        <w:rPr/>
      </w:pPr>
      <w:r>
        <w:rPr/>
        <w:t>ponte 7eabcc92….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Limite da independência.</w:t>
      </w:r>
      <w:r>
        <w:rPr/>
        <w:t xml:space="preserve"> A mesma IA desenhou os erros e fará os testes. Por isso, os resultados do Bloco 08 </w:t>
      </w:r>
      <w:r>
        <w:rPr>
          <w:b/>
          <w:bCs/>
        </w:rPr>
        <w:t>não</w:t>
      </w:r>
      <w:r>
        <w:rPr/>
        <w:t xml:space="preserve"> serão apresentados como teste cego independente.</w:t>
      </w:r>
    </w:p>
    <w:p>
      <w:pPr>
        <w:pStyle w:val="FirstParagraph"/>
        <w:rPr/>
      </w:pPr>
      <w:r>
        <w:rPr>
          <w:b/>
          <w:bCs/>
        </w:rPr>
        <w:t>6. Atualização em 23/10/2026 (Bloco 08): uso da base como evidência simulada</w:t>
      </w:r>
    </w:p>
    <w:p>
      <w:pPr>
        <w:pStyle w:val="Compact"/>
        <w:numPr>
          <w:ilvl w:val="0"/>
          <w:numId w:val="218"/>
        </w:numPr>
        <w:rPr/>
      </w:pPr>
      <w:r>
        <w:rPr/>
        <w:t>A base congelada no Bloco 07 (mesmo SHA-256) foi a única fonte dos testes do PT 530. O código conferiu o hash antes de ler os dados.</w:t>
      </w:r>
    </w:p>
    <w:p>
      <w:pPr>
        <w:pStyle w:val="Compact"/>
        <w:numPr>
          <w:ilvl w:val="0"/>
          <w:numId w:val="219"/>
        </w:numPr>
        <w:rPr/>
      </w:pPr>
      <w:r>
        <w:rPr/>
        <w:t>Os testes integrais identificaram 4.000 registros com distorção de valor ou de existência (T1, T2 e T3) e 996 com incoerência de categoria (T4).</w:t>
      </w:r>
    </w:p>
    <w:p>
      <w:pPr>
        <w:pStyle w:val="Compact"/>
        <w:numPr>
          <w:ilvl w:val="0"/>
          <w:numId w:val="220"/>
        </w:numPr>
        <w:rPr/>
      </w:pPr>
      <w:r>
        <w:rPr/>
        <w:t>A distorção conhecida líquida é de R$ 117.484.338,18, uma superavaliação do saldo registrado (PT 450).</w:t>
      </w:r>
    </w:p>
    <w:p>
      <w:pPr>
        <w:pStyle w:val="Compact"/>
        <w:numPr>
          <w:ilvl w:val="0"/>
          <w:numId w:val="221"/>
        </w:numPr>
        <w:rPr/>
      </w:pPr>
      <w:r>
        <w:rPr/>
        <w:t>Relevância (item 7): os testes avaliam existência, avaliação e classificação com regras ligadas aos atributos de cada registro.</w:t>
      </w:r>
    </w:p>
    <w:p>
      <w:pPr>
        <w:pStyle w:val="Compact"/>
        <w:numPr>
          <w:ilvl w:val="0"/>
          <w:numId w:val="222"/>
        </w:numPr>
        <w:rPr/>
      </w:pPr>
      <w:r>
        <w:rPr/>
        <w:t>Confiabilidade: na simulação, ela depende da coerência interna da base, e não de fonte externa. Por isso o resultado vale como demonstração de método, não como evidência sobre a CPFL.</w:t>
      </w:r>
    </w:p>
    <w:p>
      <w:pPr>
        <w:pStyle w:val="FirstParagraph"/>
        <w:rPr/>
      </w:pPr>
      <w:r>
        <w:rPr>
          <w:b/>
          <w:bCs/>
        </w:rPr>
        <w:t>7. Pendente para o fechamento deste PT (Bloco 11)</w:t>
      </w:r>
    </w:p>
    <w:p>
      <w:pPr>
        <w:pStyle w:val="Compact"/>
        <w:numPr>
          <w:ilvl w:val="0"/>
          <w:numId w:val="223"/>
        </w:numPr>
        <w:rPr/>
      </w:pPr>
      <w:r>
        <w:rPr/>
        <w:t>consolidar a suficiência e a adequação da evidência por afirmação, a partir dos resultados dos PTs 505, 520, 530, 540 e 550;</w:t>
      </w:r>
    </w:p>
    <w:p>
      <w:pPr>
        <w:pStyle w:val="Compact"/>
        <w:numPr>
          <w:ilvl w:val="0"/>
          <w:numId w:val="224"/>
        </w:numPr>
        <w:rPr/>
      </w:pPr>
      <w:r>
        <w:rPr/>
        <w:t>registrar as inconsistências entre fontes (item 11), como DV01–DV18 do Apêndice A.</w:t>
      </w:r>
    </w:p>
    <w:p>
      <w:pPr>
        <w:pStyle w:val="FirstParagraph"/>
        <w:rPr/>
      </w:pPr>
      <w:r>
        <w:rPr>
          <w:b/>
          <w:bCs/>
        </w:rPr>
        <w:t>8. Fechamento em 23/10/2026 (Bloco 11): suficiência e adequação por risco e afirmação (itens 6–11)</w:t>
      </w:r>
    </w:p>
    <w:p>
      <w:pPr>
        <w:pStyle w:val="BodyText"/>
        <w:rPr/>
      </w:pPr>
      <w:r>
        <w:rPr/>
        <w:t>Matriz completa: aba PT500_Matriz da planilha B11. Escala: S = suficiente para a conclusão limitada deste exercício; P = parcial; I = insuficiente.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94"/>
        <w:gridCol w:w="1994"/>
        <w:gridCol w:w="1995"/>
        <w:gridCol w:w="1994"/>
        <w:gridCol w:w="1995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/ área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Afirmações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Evidência principal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Suficiência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Lacuna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R01 Ativo financeiro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Avaliação, classificação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Movimentação, saldos por distribuidora, analítico, sensibilidade, renovação, base sintética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homologada, laudo, cadastro real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R02 Ativo contratual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Saldos e PAA da PwC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Modelo e medições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R03 Receita não faturada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Ocorrência, corte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 e PAA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Controles de medição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R06 Dívidas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Integridade, classificação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Notas 18–19; vencimentos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Confirmações CF-04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R07 Provisões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Integridade, avaliação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Movimentação e casos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Carta jurídica CF-08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R13 Partes relacionadas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31 conciliada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Atas e confirmações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R16 Burla de controles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Todas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Indicador no VNR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 de lançamentos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R17 Continuidade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Divulgação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Liquidez e release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Previsão de caixa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Saldos de abertura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Todas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61 linhas sem diferença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Papéis do antecessor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Eventos subsequentes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Notas, ITRs, RI até 23/10/2026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Indagações e carta</w:t>
            </w:r>
          </w:p>
        </w:tc>
      </w:tr>
    </w:tbl>
    <w:p>
      <w:pPr>
        <w:pStyle w:val="BodyText"/>
        <w:rPr/>
      </w:pPr>
      <w:r>
        <w:rPr>
          <w:b/>
          <w:bCs/>
        </w:rPr>
        <w:t>Inconsistências entre fontes (item 11).</w:t>
      </w:r>
      <w:r>
        <w:rPr/>
        <w:t xml:space="preserve"> DV01–DV20 (Apêndice A) foram resolvidas a favor da fonte primária com página. Nenhuma ficou sem tratamento. O FR truncado (DV15) e o relatório de 2024 ausente (DV20) são limitações, não inconsistências.</w:t>
      </w:r>
    </w:p>
    <w:p>
      <w:pPr>
        <w:pStyle w:val="BodyText"/>
        <w:rPr/>
      </w:pPr>
      <w:r>
        <w:rPr>
          <w:b/>
          <w:bCs/>
        </w:rPr>
        <w:t>Conclusão de suficiência.</w:t>
      </w:r>
      <w:r>
        <w:rPr/>
        <w:t xml:space="preserve"> Para três riscos significativos (R02, R03, R16) a evidência é insuficiente, e os procedimentos continuam planejados. Para o R01, a evidência é parcial e a base sintética só demonstra método. Isso impediria opinião numa auditoria real; aqui sustenta somente as conclusões limitadas do dossiê.</w:t>
      </w:r>
    </w:p>
    <w:p>
      <w:pPr>
        <w:pStyle w:val="BodyText"/>
        <w:rPr/>
      </w:pPr>
      <w:r>
        <w:rPr>
          <w:b/>
          <w:bCs/>
        </w:rPr>
        <w:t>9. Atualização em 24/10/2026 (Bloco 13): conferência DF25 (PDF) × base de dados da CVM</w:t>
      </w:r>
    </w:p>
    <w:p>
      <w:pPr>
        <w:pStyle w:val="BodyText"/>
        <w:rPr/>
      </w:pPr>
      <w:r>
        <w:rPr/>
        <w:t>Fonte: dados abertos da CVM, DFP 2025, versão 1, documento 155108, recebido em 05/03/2026 (arquivos BPA, BPP e DFC-MI consolidados, filtrados pelo CNPJ 02.429.144/0001-93; escala MIL). Detalhe na seção 3.2 do dossiê.</w:t>
      </w:r>
    </w:p>
    <w:tbl>
      <w:tblPr>
        <w:tblStyle w:val="Table"/>
        <w:tblW w:w="79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Quantidade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Valores transcritos do PDF (BP e DFC, 2025 e 2024) comparados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182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Idênticos na CVM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168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Diferença de ±1 ou ±2 (arredondamento, nota 2.4)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Agregação diferente de contas no modelo da CVM (soma confere ±1)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Subtotal derivado da DFC (6.01.01 + 6.01.02 confere)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Diferenças sem explicação</w:t>
            </w:r>
          </w:p>
        </w:tc>
        <w:tc>
          <w:tcPr>
            <w:tcW w:w="3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</w:tr>
    </w:tbl>
    <w:p>
      <w:pPr>
        <w:pStyle w:val="BodyText"/>
        <w:rPr/>
      </w:pPr>
      <w:r>
        <w:rPr/>
        <w:t>A fonte de maior confiabilidade disponível (dados oficiais da CVM) corrobora a transcrição das demonstrações. A DRE consolidada da CVM não pôde ser lida (arquivo acima do limite de leitura); o LAIR de 8.091.246 confere pela DFC (6.01.01.01).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26–32, 34, 59, 68; DFs individuais (pasta 06); CPFL_B07_Conciliacao_Verificacoes_Base.xlsx (Conciliacao, Verificacoes, Execucao); CPFL_B06_Projeto_Base_Sintetica.pdf; gerar_base_cpfl_v2.py, verificar_base_cpfl_v2.py, config_base_cpfl_v2.json. Referências cruzadas: PT 315 (R01), PT 320, PT 530, PT 450, PT 540. Bloco 11: CPFL_B11_Comunicacoes_Distorcoes_Evidencia.xlsx (PT500_Matriz). Bloco 13: CVM, DFP 2025 v1, documento 155108 (BPA, BPP, DFC-MI consolidados).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sintética íntegra e conciliada (B07). Matriz de evidência: 1 área suficiente, 7 parciais e 3 riscos significativos (R02, R03, R16) com evidência insuficiente. Inconsistências DV01–DV20 tratadas. Bloco 13: 182 valores do PDF conferidos com a CVM; 0 diferenças sem explicação.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evidência pública é relevante e confiável (DF auditadas), mas insuficiente para segurança razoável nos riscos significativos. Sustenta só as conclusões limitadas e não profissionais deste dossiê. Não é conclusão sobre a CPFL.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100% sintética. Pesos, valores unitários, vidas úteis, datas e fatores são premissas arbitradas. Só os saldos e a natureza da conta são reais. O saldo da Santa Cruz foi derivado por diferença (sem DF própria no Drive). Não houve acesso ao cadastro, à base de remuneração da ANEEL nem ao laudo de VNR.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Definir procedimentos apropriados e avaliar relevância e confiabilidade da informação usada como evidência (itens 6–9, 11).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Fontes e tipos de evidência (A1–A60).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Escala S/P/I de suficiência por risco; base sintética só como demonstração de método.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24/10/2026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44" w:name="__RefHeading___Toc31519_1660191972"/>
      <w:bookmarkEnd w:id="44"/>
      <w:r>
        <w:rPr/>
        <w:t>PT 501 — Evidência de auditoria — considerações específicas: estoques, litígios e informações por segmento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501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Evidência de auditoria — considerações específicas: estoques, litígios e informações por segmento. NBC TA 501 (NORMAS p. 471–482). Itens: 4–8 (estoques: acompanhamento da contagem, contagem em outra data, impossibilidade, estoque com terceiros; p. 474–475), 9–12 (litígios e reclamações: procedimentos para identificar, comunicação com advogados externos, recusa, representações; p. 475–476), 13 (informações por segmento; p. 476).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Obter evidência sobre (a) a existência e a condição dos estoques, (b) a integridade dos litígios e das reclamações e a adequação de provisões e divulgações, e (c) a apresentação das informações por segmento. A aplicabilidade de cada parte é fundamentada pela relevância.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Estoques 236.566 (BP p. 34/2); provisões para riscos 1.740.903 e depósitos judiciais 805.776 (nota 22, p. 94/62); perdas possíveis 10.748.481 (p. 95/63); segmentos (nota 30, p. 103/71).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 e condição (estoques); integridade, avaliação e divulgação (litígios — R07 do PT 315); apresentação (segmentos).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34–36, 94–96, 103; CPFL_B10_Litigios_Confirmacoes_Eventos_Continuidade.xlsx, abas PT501_Litigios e PT501_Estoques_Segm; CPFL_B10_Minutas_Confirmacao_NAO_ENVIADAS (PDF/DOCX) (modelo CF-08).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Estoques: aplicabilidade, analítico 2025 × 2024 e plano de acompanhamento de contagem por amostra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(analítico) / Planejado por falta de acesso (contagem)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Litígios: conciliar a movimentação das provisões (4 naturezas) e o quadro de perdas possíveis com o total divulgado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Litígios: relacionar os casos individuais divulgados e medir sua grandeza frente à materialidade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Carta de circularização jurídica aos advogados externos (item 10)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 — modelo CF-08 NÃO ENVIADO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Leitura de atas, contas de honorários jurídicos e sistemas de processos (item 9)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Segmentos: conciliar o LAIR dos segmentos com a DRE (item 13)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Estoques (itens 4–8): aplicabilidade limitada</w:t>
      </w:r>
    </w:p>
    <w:p>
      <w:pPr>
        <w:pStyle w:val="Compact"/>
        <w:numPr>
          <w:ilvl w:val="0"/>
          <w:numId w:val="225"/>
        </w:numPr>
        <w:rPr/>
      </w:pPr>
      <w:r>
        <w:rPr/>
        <w:t>Saldo de 236.566 (0,29% do ativo; +6,8% sobre 2024).</w:t>
      </w:r>
    </w:p>
    <w:p>
      <w:pPr>
        <w:pStyle w:val="Compact"/>
        <w:numPr>
          <w:ilvl w:val="0"/>
          <w:numId w:val="226"/>
        </w:numPr>
        <w:rPr/>
      </w:pPr>
      <w:r>
        <w:rPr/>
        <w:t>Isoladamente, fica abaixo da materialidade global (58%) e da de execução (78%). Mesmo assim, é relevante o bastante para não ser ignorado.</w:t>
      </w:r>
    </w:p>
    <w:p>
      <w:pPr>
        <w:pStyle w:val="Compact"/>
        <w:numPr>
          <w:ilvl w:val="0"/>
          <w:numId w:val="227"/>
        </w:numPr>
        <w:rPr/>
      </w:pPr>
      <w:r>
        <w:rPr/>
        <w:t xml:space="preserve">O item 4 exige acompanhar a contagem </w:t>
      </w:r>
      <w:r>
        <w:rPr>
          <w:b/>
          <w:bCs/>
        </w:rPr>
        <w:t>se o estoque for relevante</w:t>
      </w:r>
      <w:r>
        <w:rPr/>
        <w:t>. O programa PG-EST (Bloco 04) prevê extensão reduzida: acompanhamento de contagem em almoxarifados selecionados por valor e testes de obsolescência de materiais de manutenção.</w:t>
      </w:r>
    </w:p>
    <w:p>
      <w:pPr>
        <w:pStyle w:val="Compact"/>
        <w:numPr>
          <w:ilvl w:val="0"/>
          <w:numId w:val="228"/>
        </w:numPr>
        <w:rPr/>
      </w:pPr>
      <w:r>
        <w:rPr>
          <w:b/>
          <w:bCs/>
        </w:rPr>
        <w:t>Não houve presença em inventário.</w:t>
      </w:r>
      <w:r>
        <w:rPr/>
        <w:t xml:space="preserve"> O procedimento é apenas planejado.</w:t>
      </w:r>
    </w:p>
    <w:p>
      <w:pPr>
        <w:pStyle w:val="FirstParagraph"/>
        <w:rPr/>
      </w:pPr>
      <w:r>
        <w:rPr>
          <w:b/>
          <w:bCs/>
        </w:rPr>
        <w:t>2. Litígios e reclamações (itens 9–12)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85"/>
        <w:gridCol w:w="4986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Movimentação das provisões: 1.561.980 + 423.111 − 107.475 − 335.067 + 198.354 = 1.740.903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Confere (±1 de arredondamento por natureza)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Perdas possíveis: soma das 5 naturezas = 10.748.481 (2024: 10.182.096)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Confere; aumento de 566.385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Perdas possíveis ÷ materialidade global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26,6 vezes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não provisionado, mas sensível à mudança de prognóstico</w:t>
            </w:r>
          </w:p>
        </w:tc>
      </w:tr>
    </w:tbl>
    <w:p>
      <w:pPr>
        <w:pStyle w:val="BodyText"/>
        <w:rPr/>
      </w:pPr>
      <w:r>
        <w:rPr>
          <w:b/>
          <w:bCs/>
        </w:rPr>
        <w:t>Casos individuais relevantes (p. 94–96):</w:t>
      </w:r>
    </w:p>
    <w:p>
      <w:pPr>
        <w:pStyle w:val="Compact"/>
        <w:numPr>
          <w:ilvl w:val="0"/>
          <w:numId w:val="229"/>
        </w:numPr>
        <w:rPr/>
      </w:pPr>
      <w:r>
        <w:rPr/>
        <w:t>CEEE Prev 519.456 (possível)</w:t>
      </w:r>
    </w:p>
    <w:p>
      <w:pPr>
        <w:pStyle w:val="Compact"/>
        <w:numPr>
          <w:ilvl w:val="0"/>
          <w:numId w:val="230"/>
        </w:numPr>
        <w:rPr/>
      </w:pPr>
      <w:r>
        <w:rPr/>
        <w:t>ABRAGEL 380.500 (possível)</w:t>
      </w:r>
    </w:p>
    <w:p>
      <w:pPr>
        <w:pStyle w:val="Compact"/>
        <w:numPr>
          <w:ilvl w:val="0"/>
          <w:numId w:val="231"/>
        </w:numPr>
        <w:rPr/>
      </w:pPr>
      <w:r>
        <w:rPr/>
        <w:t>Jataí: 51.712 possível, 927.018 remoto</w:t>
      </w:r>
    </w:p>
    <w:p>
      <w:pPr>
        <w:pStyle w:val="Compact"/>
        <w:numPr>
          <w:ilvl w:val="0"/>
          <w:numId w:val="232"/>
        </w:numPr>
        <w:rPr/>
      </w:pPr>
      <w:r>
        <w:rPr/>
        <w:t>IRPJ/CSLL ERSA/SMITA 504.722 (possível)</w:t>
      </w:r>
    </w:p>
    <w:p>
      <w:pPr>
        <w:pStyle w:val="Compact"/>
        <w:numPr>
          <w:ilvl w:val="0"/>
          <w:numId w:val="233"/>
        </w:numPr>
        <w:rPr/>
      </w:pPr>
      <w:r>
        <w:rPr/>
        <w:t>Ágio RGE 650.519</w:t>
      </w:r>
    </w:p>
    <w:p>
      <w:pPr>
        <w:pStyle w:val="Compact"/>
        <w:numPr>
          <w:ilvl w:val="0"/>
          <w:numId w:val="234"/>
        </w:numPr>
        <w:rPr/>
      </w:pPr>
      <w:r>
        <w:rPr>
          <w:b/>
          <w:bCs/>
        </w:rPr>
        <w:t>IRRF Jantus:</w:t>
      </w:r>
      <w:r>
        <w:rPr/>
        <w:t xml:space="preserve"> decisão definitiva desfavorável em novembro de 2025; débito de 139.291 em 31/12/2025, quitado em janeiro de 2026 por 60.950 com benefícios da Lei 14.689/2023.</w:t>
      </w:r>
    </w:p>
    <w:p>
      <w:pPr>
        <w:pStyle w:val="Compact"/>
        <w:numPr>
          <w:ilvl w:val="0"/>
          <w:numId w:val="235"/>
        </w:numPr>
        <w:rPr/>
      </w:pPr>
      <w:r>
        <w:rPr>
          <w:b/>
          <w:bCs/>
        </w:rPr>
        <w:t>Ativo contingente</w:t>
      </w:r>
      <w:r>
        <w:rPr/>
        <w:t xml:space="preserve"> da CPFL Brasil contra a ANEEL (cálculo da AGU de 4.678.104), corretamente não reconhecido. Está em negociação de acordo; o ganho não é praticamente certo.</w:t>
      </w:r>
    </w:p>
    <w:p>
      <w:pPr>
        <w:pStyle w:val="FirstParagraph"/>
        <w:rPr/>
      </w:pPr>
      <w:r>
        <w:rPr>
          <w:b/>
          <w:bCs/>
        </w:rPr>
        <w:t>Ponto de auditoria (Jantus):</w:t>
      </w:r>
      <w:r>
        <w:rPr/>
        <w:t xml:space="preserve"> com a decisão definitiva antes de 31/12/2025, havia </w:t>
      </w:r>
      <w:r>
        <w:rPr>
          <w:b/>
          <w:bCs/>
        </w:rPr>
        <w:t>obrigação presente</w:t>
      </w:r>
      <w:r>
        <w:rPr/>
        <w:t xml:space="preserve"> na data do balanço. As DF não mostram de forma explícita em qual rubrica o débito foi reconhecido. Verificação planejada no PT 560. O valor fica abaixo da execução (46%), mas acima do trivial: acumular no PT 450 se não estiver reconhecido.</w:t>
      </w:r>
    </w:p>
    <w:p>
      <w:pPr>
        <w:pStyle w:val="BodyText"/>
        <w:rPr/>
      </w:pPr>
      <w:r>
        <w:rPr>
          <w:b/>
          <w:bCs/>
        </w:rPr>
        <w:t>Procedimentos indisponíveis:</w:t>
      </w:r>
    </w:p>
    <w:p>
      <w:pPr>
        <w:pStyle w:val="Compact"/>
        <w:numPr>
          <w:ilvl w:val="0"/>
          <w:numId w:val="236"/>
        </w:numPr>
        <w:rPr/>
      </w:pPr>
      <w:r>
        <w:rPr/>
        <w:t xml:space="preserve">carta aos advogados externos (modelo CF-08, </w:t>
      </w:r>
      <w:r>
        <w:rPr>
          <w:b/>
          <w:bCs/>
        </w:rPr>
        <w:t>não enviado</w:t>
      </w:r>
      <w:r>
        <w:rPr/>
        <w:t>);</w:t>
      </w:r>
    </w:p>
    <w:p>
      <w:pPr>
        <w:pStyle w:val="Compact"/>
        <w:numPr>
          <w:ilvl w:val="0"/>
          <w:numId w:val="237"/>
        </w:numPr>
        <w:rPr/>
      </w:pPr>
      <w:r>
        <w:rPr/>
        <w:t>leitura de atas e de contas de honorários;</w:t>
      </w:r>
    </w:p>
    <w:p>
      <w:pPr>
        <w:pStyle w:val="Compact"/>
        <w:numPr>
          <w:ilvl w:val="0"/>
          <w:numId w:val="238"/>
        </w:numPr>
        <w:rPr/>
      </w:pPr>
      <w:r>
        <w:rPr/>
        <w:t>indagação ao jurídico interno;</w:t>
      </w:r>
    </w:p>
    <w:p>
      <w:pPr>
        <w:pStyle w:val="Compact"/>
        <w:numPr>
          <w:ilvl w:val="0"/>
          <w:numId w:val="239"/>
        </w:numPr>
        <w:rPr/>
      </w:pPr>
      <w:r>
        <w:rPr/>
        <w:t>representações formais (item 12; PT 580).</w:t>
      </w:r>
    </w:p>
    <w:p>
      <w:pPr>
        <w:pStyle w:val="FirstParagraph"/>
        <w:rPr/>
      </w:pPr>
      <w:r>
        <w:rPr>
          <w:b/>
          <w:bCs/>
        </w:rPr>
        <w:t>3. Segmentos (item 13)</w:t>
      </w:r>
    </w:p>
    <w:p>
      <w:pPr>
        <w:pStyle w:val="BodyText"/>
        <w:rPr/>
      </w:pPr>
      <w:r>
        <w:rPr/>
        <w:t>A soma do LAIR dos seis segmentos (8.091.246) é igual ao LAIR consolidado, com diferença zero. A distribuição responde por 65,9% e concentra o ativo financeiro da concessão. A conciliação foi feita no B05 (DV18).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34–36, 94–96, 103; CPFL_B10_Litigios_Confirmacoes_Eventos_Continuidade.xlsx; CPFL_B10_Minutas_Confirmacao_NAO_ENVIADAS (PDF/DOCX). Referências cruzadas: PT 315 (R07), PT 450, PT 505, PT 560, PT 580, PT 600 (segmentos), programa PG-EST.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Provisões e perdas possíveis conciliadas com o divulgado. Perdas possíveis equivalem a 26,6 vezes a materialidade global. Obrigação do IRRF Jantus em 31/12/2025 a verificar quanto ao reconhecimento. Segmentos conciliados. Estoques sem procedimento físico.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Os números divulgados de litígios e segmentos são internamente consistentes. A integridade dos litígios e a adequação dos prognósticos dependem da carta jurídica e das indagações, planejadas. Não é conclusão sobre a CPFL.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contagem física, sem advogados, sem atas. Prognósticos e valores são da administração.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Procedimentos para estoques relevantes, litígios e segmentos (itens 4–13).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Exemplos de procedimentos e de carta jurídica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Aplicabilidade limitada para estoques; carta jurídica só como modelo.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45" w:name="__RefHeading___Toc31521_1660191972"/>
      <w:bookmarkEnd w:id="45"/>
      <w:r>
        <w:rPr/>
        <w:t>PT 505 — Confirmações externas — desenho, controle e minutas (MODELOS NÃO ENVIADOS)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505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Confirmações externas — desenho, controle e minutas (MODELOS NÃO ENVIADOS). NBC TA 505 (NORMAS p. 483–496). Itens: 6 (definições: confirmação positiva, negativa, não resposta, exceção), 7 (controle do auditor sobre as solicitações; p. 489), 8–9 (recusa da administração), 10–11 (confiabilidade das respostas), 12 (não resposta: procedimentos alternativos), 13 (resposta positiva indispensável), 14 (exceções), 15 (confirmação negativa: condições), 16 (avaliação; p. 490–491). Apoio: NBC TA 500 A5 e NBC TA 330 item 19.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Desenhar os procedimentos de confirmação externa que seriam aplicados e preparar minutas e um controle de circularização. Nada foi enviado.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Caixa + TVM 2.905.082; mútuo SGEL 4.412.650; debêntures detidas pela SGBP 325.563; empréstimos e debêntures 29.055.727; derivativos 595.863; recebíveis 6.377.562; provisões jurídicas 1.740.903 (BP p. 34–35; notas 18, 19, 22, 31).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 e direitos (caixa, recebíveis); integridade e obrigações (dívidas, partes relacionadas); avaliação (derivativos); integridade (litígios).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CPFL_B10_Litigios_Confirmacoes_Eventos_Continuidade.xlsx, aba PT505_Controle (CF-01 a CF-08); CPFL_B10_Minutas_Confirmacao_NAO_ENVIADAS (PDF/DOCX).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505-01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saldos, partes confirmantes (categorias institucionais), tipo de confirmação e critério de seleção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(desenho documental)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505-02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Preparar minutas CF-01 a CF-08 e o controle de circularização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 — MODELOS NÃO ENVIADOS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505-03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Enviar, acompanhar, avaliar respostas, investigar exceções e aplicar procedimentos alternativos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O que foi feito e o que não foi</w:t>
      </w:r>
    </w:p>
    <w:p>
      <w:pPr>
        <w:pStyle w:val="Compact"/>
        <w:numPr>
          <w:ilvl w:val="0"/>
          <w:numId w:val="240"/>
        </w:numPr>
        <w:rPr/>
      </w:pPr>
      <w:r>
        <w:rPr/>
        <w:t>Foram preparados oito modelos (CF-01 a CF-08) e um controle com valores do BP, critério de seleção e procedimento alternativo para não resposta.</w:t>
      </w:r>
    </w:p>
    <w:p>
      <w:pPr>
        <w:pStyle w:val="Compact"/>
        <w:numPr>
          <w:ilvl w:val="0"/>
          <w:numId w:val="241"/>
        </w:numPr>
        <w:rPr/>
      </w:pPr>
      <w:r>
        <w:rPr>
          <w:b/>
          <w:bCs/>
        </w:rPr>
        <w:t>Nenhum foi enviado.</w:t>
      </w:r>
    </w:p>
    <w:p>
      <w:pPr>
        <w:pStyle w:val="Compact"/>
        <w:numPr>
          <w:ilvl w:val="0"/>
          <w:numId w:val="242"/>
        </w:numPr>
        <w:rPr/>
      </w:pPr>
      <w:r>
        <w:rPr/>
        <w:t>Não há destinatário pessoal, resposta, exceção ou confirmação recebida.</w:t>
      </w:r>
    </w:p>
    <w:p>
      <w:pPr>
        <w:pStyle w:val="Compact"/>
        <w:numPr>
          <w:ilvl w:val="0"/>
          <w:numId w:val="243"/>
        </w:numPr>
        <w:rPr/>
      </w:pPr>
      <w:r>
        <w:rPr/>
        <w:t>As colunas de envio e resposta do controle estão vazias de propósito.</w:t>
      </w:r>
    </w:p>
    <w:p>
      <w:pPr>
        <w:pStyle w:val="FirstParagraph"/>
        <w:rPr/>
      </w:pPr>
      <w:r>
        <w:rPr>
          <w:b/>
          <w:bCs/>
        </w:rPr>
        <w:t>2. Escolhas de desenho (julgamento didático)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Tipo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Por quê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Partes relacionadas: mútuo SGEL e debêntures da SGBP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Positiva com saldo, 100%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R13; transação significativa (PT 550)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Bancos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Positiva em branco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Reduz o viés de concordância; inclui garantias, derivativos e restrições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Dívidas e derivativos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Positiva por contraparte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Integridade de obrigações; </w:t>
            </w:r>
            <w:r>
              <w:rPr>
                <w:i/>
                <w:iCs/>
                <w:kern w:val="0"/>
                <w:sz w:val="17"/>
                <w:szCs w:val="24"/>
                <w:lang w:val="pt-BR" w:eastAsia="en-US" w:bidi="ar-SA"/>
              </w:rPr>
              <w:t>covenants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 </w:t>
            </w:r>
            <w:r>
              <w:rPr>
                <w:i/>
                <w:iCs/>
                <w:kern w:val="0"/>
                <w:sz w:val="17"/>
                <w:szCs w:val="24"/>
                <w:lang w:val="pt-BR" w:eastAsia="en-US" w:bidi="ar-SA"/>
              </w:rPr>
              <w:t>waivers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(PT 570)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Recebíveis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Positiva (maiores) e negativa (pulverizados)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negativa só é admitida nas condições do item 15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Litígios (carta jurídica)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Carta aos advogados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501 item 10</w:t>
            </w:r>
          </w:p>
        </w:tc>
      </w:tr>
    </w:tbl>
    <w:p>
      <w:pPr>
        <w:pStyle w:val="BodyText"/>
        <w:rPr/>
      </w:pPr>
      <w:r>
        <w:rPr>
          <w:b/>
          <w:bCs/>
        </w:rPr>
        <w:t>3. Controle do auditor (item 7)</w:t>
      </w:r>
    </w:p>
    <w:p>
      <w:pPr>
        <w:pStyle w:val="Compact"/>
        <w:numPr>
          <w:ilvl w:val="0"/>
          <w:numId w:val="244"/>
        </w:numPr>
        <w:rPr/>
      </w:pPr>
      <w:r>
        <w:rPr/>
        <w:t>O auditor define a informação e a parte confirmante.</w:t>
      </w:r>
    </w:p>
    <w:p>
      <w:pPr>
        <w:pStyle w:val="Compact"/>
        <w:numPr>
          <w:ilvl w:val="0"/>
          <w:numId w:val="245"/>
        </w:numPr>
        <w:rPr/>
      </w:pPr>
      <w:r>
        <w:rPr/>
        <w:t>O endereço é verificado de forma independente.</w:t>
      </w:r>
    </w:p>
    <w:p>
      <w:pPr>
        <w:pStyle w:val="Compact"/>
        <w:numPr>
          <w:ilvl w:val="0"/>
          <w:numId w:val="246"/>
        </w:numPr>
        <w:rPr/>
      </w:pPr>
      <w:r>
        <w:rPr/>
        <w:t>O envio é feito pelo auditor, e a resposta vai direto a ele.</w:t>
      </w:r>
    </w:p>
    <w:p>
      <w:pPr>
        <w:pStyle w:val="Compact"/>
        <w:numPr>
          <w:ilvl w:val="0"/>
          <w:numId w:val="247"/>
        </w:numPr>
        <w:rPr/>
      </w:pPr>
      <w:r>
        <w:rPr/>
        <w:t>Respostas por e-mail exigem verificação da origem (itens 10–11).</w:t>
      </w:r>
    </w:p>
    <w:p>
      <w:pPr>
        <w:pStyle w:val="Compact"/>
        <w:numPr>
          <w:ilvl w:val="0"/>
          <w:numId w:val="248"/>
        </w:numPr>
        <w:rPr/>
      </w:pPr>
      <w:r>
        <w:rPr>
          <w:b/>
          <w:bCs/>
        </w:rPr>
        <w:t>Recusa da administração</w:t>
      </w:r>
      <w:r>
        <w:rPr/>
        <w:t xml:space="preserve"> (itens 8–9): avaliar as razões, reavaliar o risco de fraude (PT 240) e comunicar à governança se não for razoável.</w:t>
      </w:r>
    </w:p>
    <w:p>
      <w:pPr>
        <w:pStyle w:val="Compact"/>
        <w:numPr>
          <w:ilvl w:val="0"/>
          <w:numId w:val="249"/>
        </w:numPr>
        <w:rPr/>
      </w:pPr>
      <w:r>
        <w:rPr>
          <w:b/>
          <w:bCs/>
        </w:rPr>
        <w:t>Não resposta</w:t>
      </w:r>
      <w:r>
        <w:rPr/>
        <w:t xml:space="preserve"> (item 12): procedimentos alternativos do controle, como extratos, pagamentos subsequentes e documentos de B3 e CCEE.</w:t>
      </w:r>
    </w:p>
    <w:p>
      <w:pPr>
        <w:pStyle w:val="Compact"/>
        <w:numPr>
          <w:ilvl w:val="0"/>
          <w:numId w:val="250"/>
        </w:numPr>
        <w:rPr/>
      </w:pPr>
      <w:r>
        <w:rPr>
          <w:b/>
          <w:bCs/>
        </w:rPr>
        <w:t>Resposta positiva indispensável</w:t>
      </w:r>
      <w:r>
        <w:rPr/>
        <w:t xml:space="preserve"> (item 13): sem ela, não há alternativa. É o caso do mútuo SGEL, pela natureza do risco.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CPFL_B10_Litigios_Confirmacoes_Eventos_Continuidade.xlsx (PT505_Controle); CPFL_B10_Minutas_Confirmacao_NAO_ENVIADAS (PDF/DOCX); DF25 notas 18, 19, 22, 31, 34. Referências cruzadas: PT 330, PT 501, PT 550, PT 570.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Oito modelos e controle de circularização preparados. Nenhum enviado. Nenhuma resposta.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desenho atende aos requisitos de controle da NBC TA 505. Não há evidência externa obtida: os saldos permanecem suportados apenas pelas DF auditadas e pelos demais PTs.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Proibição do trabalho de contatar terceiros. Destinatários apenas por categoria. Valores ilustrativos extraídos das DF.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Manter controle sobre as solicitações de confirmação e avaliar respostas (itens 7–16).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Uso de confirmação negativa e meios eletrônicos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Critérios de seleção didáticos; nenhuma confirmação enviada.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46" w:name="__RefHeading___Toc31523_1660191972"/>
      <w:bookmarkEnd w:id="46"/>
      <w:r>
        <w:rPr/>
        <w:t>PT 510 — Trabalhos iniciais — saldos iniciais (auditoria inicial didática)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510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Trabalhos iniciais — saldos iniciais (auditoria inicial didática). NBC TA 510 (R1) (NORMAS p. 497–520). Itens: 5 (ler as demonstrações mais recentes e o relatório do auditor antecessor), 6 (evidência sobre os saldos iniciais: (a) transportados corretamente; (b) políticas apropriadas; (c) revisão dos papéis do antecessor, procedimentos do período corrente ou procedimentos específicos), 7 (distorções nos saldos iniciais), 8 (consistência de políticas) — p. 499; 9–13 (conclusões e relatório, inclusive opinião modificada do antecessor) — p. 500.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Obter evidência de que os saldos de abertura de 01/01/2025 não contêm distorções que afetem de forma relevante as DF de 2025 e de que as políticas contábeis foram aplicadas de forma consistente. O trabalho é tratado como inicial para fins didáticos: o ‘auditor antecessor’ é a PwC, que auditou 2024.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Balanço patrimonial consolidado de 31/12/2024 (comparativo) e DRE de 2024; ativo financeiro da concessão de abertura de R$ 25.209.768 mil.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Existência, integridade, avaliação e apresentação dos saldos de abertura; consistência das políticas. Ligação com D-B04-01, cujo gatilho é reduzir a materialidade de execução se houver ajustes de abertura.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DF24 CPFL.pdf (Drive, pasta 01): BP p. 34–35 (impressas 2–3), DRE p. 36/4, nota 1.3 p. 45/13, nota 2.1 p. 46/14, Relatório da Administração item 8 p. 27, parecer do Conselho Fiscal p. 138, declaração da diretoria p. 139. DF25: comparativos p. 34–36, nota 3.19–3.20 p. 57–58. Comparação de 61 linhas: CPFL_B09_Abertura_Analiticos_Estimativas_PartesRel.xlsx, aba PT510_Abertura.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510-01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Ler a DF24 e identificar o auditor antecessor, o tipo de opinião e a data do relatório (item 5)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(indireta: o relatório do auditor não está no PDF do Drive)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510-02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as 61 linhas do BP de 31/12/2024 publicado (DF24) com o comparativo da DF25, além de totais e DRE (item 6(a))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510-03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Verificar reapresentações, reclassificações e mudanças de política (itens 6(b) e 8)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510-04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Revisar os papéis de trabalho do auditor antecessor (item 6(c)(i))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 (não ocorreu)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510-05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Procedimentos específicos sobre o ativo financeiro da concessão de abertura: base de remuneração homologada e laudo de VNR de 2024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510-06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Usar procedimentos do período corrente como evidência sobre a abertura: movimentação da nota 11 e retrospectiva do VNR (PT 520/540)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Auditor antecessor e opinião sobre 2024 (item 5)</w:t>
      </w:r>
    </w:p>
    <w:p>
      <w:pPr>
        <w:pStyle w:val="Compact"/>
        <w:numPr>
          <w:ilvl w:val="0"/>
          <w:numId w:val="251"/>
        </w:numPr>
        <w:rPr/>
      </w:pPr>
      <w:r>
        <w:rPr/>
        <w:t>A PwC (PricewaterhouseCoopers Auditores Independentes) foi contratada para auditar as DF de 2024 (DF24, Relatório da Administração, item 8, p. 27).</w:t>
      </w:r>
    </w:p>
    <w:p>
      <w:pPr>
        <w:pStyle w:val="Compact"/>
        <w:numPr>
          <w:ilvl w:val="0"/>
          <w:numId w:val="252"/>
        </w:numPr>
        <w:rPr/>
      </w:pPr>
      <w:r>
        <w:rPr/>
        <w:t xml:space="preserve">O relatório do auditor </w:t>
      </w:r>
      <w:r>
        <w:rPr>
          <w:b/>
          <w:bCs/>
        </w:rPr>
        <w:t>não consta</w:t>
      </w:r>
      <w:r>
        <w:rPr/>
        <w:t xml:space="preserve"> do PDF disponível no Drive. A existência de relatório </w:t>
      </w:r>
      <w:r>
        <w:rPr>
          <w:b/>
          <w:bCs/>
        </w:rPr>
        <w:t>sem ressalvas</w:t>
      </w:r>
      <w:r>
        <w:rPr/>
        <w:t>, datado de 26/02/2025, é indicada:</w:t>
      </w:r>
    </w:p>
    <w:p>
      <w:pPr>
        <w:pStyle w:val="Compact"/>
        <w:numPr>
          <w:ilvl w:val="1"/>
          <w:numId w:val="253"/>
        </w:numPr>
        <w:rPr/>
      </w:pPr>
      <w:r>
        <w:rPr/>
        <w:t>no parecer do Conselho Fiscal de 25/02/2025 (DF24 p. 138);</w:t>
      </w:r>
    </w:p>
    <w:p>
      <w:pPr>
        <w:pStyle w:val="Compact"/>
        <w:numPr>
          <w:ilvl w:val="1"/>
          <w:numId w:val="254"/>
        </w:numPr>
        <w:rPr/>
      </w:pPr>
      <w:r>
        <w:rPr/>
        <w:t>na declaração da diretoria de que “reviram, discutiram e concordam com as opiniões expressas no parecer da PwC” (p. 139).</w:t>
      </w:r>
    </w:p>
    <w:p>
      <w:pPr>
        <w:pStyle w:val="Compact"/>
        <w:numPr>
          <w:ilvl w:val="0"/>
          <w:numId w:val="255"/>
        </w:numPr>
        <w:rPr/>
      </w:pPr>
      <w:r>
        <w:rPr/>
        <w:t xml:space="preserve">As DF24 foram autorizadas em 17/02/2025 (nota 2.1, p. 46/14). </w:t>
      </w:r>
      <w:r>
        <w:rPr>
          <w:b/>
          <w:bCs/>
        </w:rPr>
        <w:t>Evidência indireta</w:t>
      </w:r>
      <w:r>
        <w:rPr/>
        <w:t>: obter o relatório completo pela CVM/ENET (pendência no B12).</w:t>
      </w:r>
    </w:p>
    <w:p>
      <w:pPr>
        <w:pStyle w:val="FirstParagraph"/>
        <w:rPr/>
      </w:pPr>
      <w:r>
        <w:rPr>
          <w:b/>
          <w:bCs/>
        </w:rPr>
        <w:t>2. Saldos transportados corretamente (item 6(a))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85"/>
        <w:gridCol w:w="4986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Comparação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61 linhas do BP consolidado de 31/12/2024 (DF24 p. 34–35 × DF25 p. 34–35)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0 diferenças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Totais publicados × soma das linhas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Diferenças de ±1 e ±2 só de soma (arredondamento, DF25 nota 2.4, p. 46)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 do ativo e do passivo + PL: 77.129.194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Idênticos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DRE 2024 (receita, lucro bruto, resultado do serviço, LAIR, lucro líquido, lucro dos controladores)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Idênticos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 de abertura: 25.209.768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Idêntico; movimentação de 2025 reexecutada no B02 (CC05)</w:t>
            </w:r>
          </w:p>
        </w:tc>
      </w:tr>
    </w:tbl>
    <w:p>
      <w:pPr>
        <w:pStyle w:val="BodyText"/>
        <w:rPr/>
      </w:pPr>
      <w:r>
        <w:rPr/>
        <w:t xml:space="preserve">A única alteração é de </w:t>
      </w:r>
      <w:r>
        <w:rPr>
          <w:b/>
          <w:bCs/>
        </w:rPr>
        <w:t>nome de rubrica</w:t>
      </w:r>
      <w:r>
        <w:rPr/>
        <w:t>: “Mútuo entre coligadas, controladas e controladora” (DF24) passou a “Mútuo com partes relacionadas” (DF25), sem mudança de valor (2.485.694). É uma reclassificação de apresentação sem efeito.</w:t>
      </w:r>
    </w:p>
    <w:p>
      <w:pPr>
        <w:pStyle w:val="BodyText"/>
        <w:rPr/>
      </w:pPr>
      <w:r>
        <w:rPr>
          <w:b/>
          <w:bCs/>
        </w:rPr>
        <w:t>3. Políticas contábeis e reapresentações (itens 6(b) e 8)</w:t>
      </w:r>
    </w:p>
    <w:p>
      <w:pPr>
        <w:pStyle w:val="Compact"/>
        <w:numPr>
          <w:ilvl w:val="0"/>
          <w:numId w:val="256"/>
        </w:numPr>
        <w:rPr/>
      </w:pPr>
      <w:r>
        <w:rPr/>
        <w:t>A DF25 não menciona reapresentação de comparativos, e os valores coincidem com a DF24.</w:t>
      </w:r>
    </w:p>
    <w:p>
      <w:pPr>
        <w:pStyle w:val="Compact"/>
        <w:numPr>
          <w:ilvl w:val="0"/>
          <w:numId w:val="257"/>
        </w:numPr>
        <w:rPr/>
      </w:pPr>
      <w:r>
        <w:rPr/>
        <w:t>As normas que entraram em vigor em 01/01/2025, incluindo as alterações da IAS 21 sobre conversibilidade de moedas, “não afetaram materialmente” as DF (nota 3.19, p. 57–58).</w:t>
      </w:r>
    </w:p>
    <w:p>
      <w:pPr>
        <w:pStyle w:val="Compact"/>
        <w:numPr>
          <w:ilvl w:val="0"/>
          <w:numId w:val="258"/>
        </w:numPr>
        <w:rPr/>
      </w:pPr>
      <w:r>
        <w:rPr/>
        <w:t>A política do ativo financeiro da concessão (valor justo por meio do resultado, VNR + IPCA) é descrita da mesma forma (DF25 nota 3, p. 47; nota 4, p. 59).</w:t>
      </w:r>
    </w:p>
    <w:p>
      <w:pPr>
        <w:pStyle w:val="Compact"/>
        <w:numPr>
          <w:ilvl w:val="0"/>
          <w:numId w:val="259"/>
        </w:numPr>
        <w:rPr/>
      </w:pPr>
      <w:r>
        <w:rPr>
          <w:b/>
          <w:bCs/>
        </w:rPr>
        <w:t>Fato de 2024 relevante para 2025:</w:t>
      </w:r>
      <w:r>
        <w:rPr/>
        <w:t xml:space="preserve"> a DF24 informava a consulta pública da ANEEL sobre a renovação das concessões e “não há impactos” (DF24 nota 1.3, p. 45/13). Em 2025, os pedidos foram aprovados pela ANEEL (DF25 nota 1.3, p. 44/12). Trata-se de evolução de fato, não de mudança de política (ver PT 540).</w:t>
      </w:r>
    </w:p>
    <w:p>
      <w:pPr>
        <w:pStyle w:val="FirstParagraph"/>
        <w:rPr/>
      </w:pPr>
      <w:r>
        <w:rPr>
          <w:b/>
          <w:bCs/>
        </w:rPr>
        <w:t>4. O que não foi possível fazer</w:t>
      </w:r>
    </w:p>
    <w:p>
      <w:pPr>
        <w:pStyle w:val="Compact"/>
        <w:numPr>
          <w:ilvl w:val="0"/>
          <w:numId w:val="260"/>
        </w:numPr>
        <w:rPr/>
      </w:pPr>
      <w:r>
        <w:rPr/>
        <w:t>Não houve acesso aos papéis de trabalho da PwC (item 6(c)(i)), nem ao cadastro, à base de remuneração e ao laudo de VNR de 2024 (510-05).</w:t>
      </w:r>
    </w:p>
    <w:p>
      <w:pPr>
        <w:pStyle w:val="Compact"/>
        <w:numPr>
          <w:ilvl w:val="0"/>
          <w:numId w:val="261"/>
        </w:numPr>
        <w:rPr/>
      </w:pPr>
      <w:r>
        <w:rPr/>
        <w:t>Como compensação parcial, o período corrente fornece evidência sobre a abertura:</w:t>
      </w:r>
    </w:p>
    <w:p>
      <w:pPr>
        <w:pStyle w:val="Compact"/>
        <w:numPr>
          <w:ilvl w:val="1"/>
          <w:numId w:val="262"/>
        </w:numPr>
        <w:rPr/>
      </w:pPr>
      <w:r>
        <w:rPr/>
        <w:t>a movimentação da nota 11 parte de 25.209.768 e fecha com o BP;</w:t>
      </w:r>
    </w:p>
    <w:p>
      <w:pPr>
        <w:pStyle w:val="Compact"/>
        <w:numPr>
          <w:ilvl w:val="1"/>
          <w:numId w:val="263"/>
        </w:numPr>
        <w:rPr/>
      </w:pPr>
      <w:r>
        <w:rPr/>
        <w:t>o modelo de expectativa do VNR reproduz o ajuste de 2024 com desvio de −0,4% (PT 520).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DF24 p. 27, 34–36, 45–46, 138–139; DF25 p. 34–36, 44, 46, 47, 57–59, 68; CPFL_B09_Abertura_Analiticos_Estimativas_PartesRel.xlsx (PT510_Abertura). Referências cruzadas: PT 320 (D-B04-01), PT 520, PT 540, PT 560.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Saldos de abertura transportados sem diferença (61 linhas; totais e DRE idênticos). Sem reapresentação. Uma rubrica renomeada sem efeito de valor. Opinião do antecessor sobre 2024 indicada como sem ressalvas (evidência indireta). Nenhum ajuste de abertura: o gatilho de D-B04-01 não é acionado.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 base nos documentos públicos, não há indício de distorção nos saldos de abertura nem de inconsistência de políticas. A evidência é limitada pela falta de acesso aos papéis do antecessor e ao relatório do auditor de 2024 em versão integral.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Relatório do auditor de 2024 não disponível no PDF do Drive. Papéis do antecessor e dados regulatórios de abertura não acessados. BP de 2024 transcrito visualmente (imagens).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Obter evidência de que os saldos iniciais não contêm distorção e de consistência das políticas (itens 5–9).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Procedimentos possíveis quando houve auditor anterior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Tratamento como auditoria inicial didática; opinião de 2024 inferida de documentos indiretos (DV20).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47" w:name="__RefHeading___Toc31525_1660191972"/>
      <w:bookmarkEnd w:id="47"/>
      <w:r>
        <w:rPr/>
        <w:t>PT 520 — Procedimentos analíticos — avaliação de risco e substantivo sobre o ajuste a valor justo do ativo financeiro da concessão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520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Procedimentos analíticos — avaliação de risco e substantivo sobre o ajuste a valor justo do ativo financeiro da concessão. NBC TA 520 (Res. CFC 1.221/2009; NORMAS p. 521–529). Itens: 5 (procedimento analítico substantivo: (a) adequação à afirmação; (b) confiabilidade dos dados; (c) expectativa suficientemente precisa; (d) diferença aceitável sem investigação), 6 (analítico perto do fim: revisão geral — Bloco 11), 7 (investigar flutuações: indagar e corroborar) — p. 525. Uso para avaliação de risco: NBC TA 315 (R2).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(1) Planejamento: identificar variações e relações que sinalizem riscos. (2) Substantivo: testar se o ajuste a valor justo (VNR) de 2025 do ativo financeiro da concessão (R$ 1.285.173 mil) é coerente com uma expectativa independente. (3) Revisão final: planejada para o Bloco 11.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 e receita de atualização (notas 11, 26 e 34); indicadores consolidados de resultado, liquidez e endividamento.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 e exatidão do ajuste a valor justo (R01); ocorrência da receita correspondente (R04). Planejamento: R13 (mútuos), R17 (liquidez).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34–36, 39, 68, 101, 110–111; DFs individuais Paulista, RGE e Piratininga (notas 11); IPCA IBGE 2024 e 2025; CPFL_B09_Abertura_Analiticos_Estimativas_PartesRel.xlsx, abas PT520_Planejamento e PT520_Substantivo_VNR.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Analíticos de planejamento: variações 2025 × 2024 e 7 indicadores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substantivo: expectativa = saldo inicial × IPCA + transferências × IPCA/2, no consolidado e por distribuidora, com retrospectiva de 2024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o ganho da nota 34 com a nota 11 (VNR − baixa da atualização), em 2025 e 2024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Investigar a diferença acima do limite: indagar a administração e obter o cálculo do VNR da CPFL Paulista (item 7)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analítica final das DF (item 6)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revisão analítica final executada no Bloco 12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Analíticos de avaliação de risco (planejamento; não são evidência substantiva)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2849"/>
        <w:gridCol w:w="2849"/>
        <w:gridCol w:w="2137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Indicador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2025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2024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Leitura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Margem bruta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31,8%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31,8%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Estável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Margem do LAIR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18,2%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19,0%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Leve queda: despesa financeira +13,8%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Liquidez corrente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0,93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0,95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CCL negativo de 1.259.649 (nota 1.4, p. 44/12) → R17, PT 570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Dívida bruta / PL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1,24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1,32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Dívida de 29.055.727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 / ativo total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36,5%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32,7%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Concentração crescente → R01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Mútuo com partes relacionadas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4.412.650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2.485.694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+77,5%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→ R13, PT 550</w:t>
            </w:r>
          </w:p>
        </w:tc>
      </w:tr>
    </w:tbl>
    <w:p>
      <w:pPr>
        <w:pStyle w:val="BodyText"/>
        <w:rPr/>
      </w:pPr>
      <w:r>
        <w:rPr>
          <w:b/>
          <w:bCs/>
        </w:rPr>
        <w:t>2. Analítico substantivo do VNR — desenho antes da comparação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85"/>
        <w:gridCol w:w="4986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Elemento (item 5)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Definição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Adequação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política (nota 4, p. 59) diz que, entre revisões tarifárias, o valor é atualizado pelo IPCA. A relação é previsível e adequada a um analítico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Dados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Saldos e movimentação de DF auditadas; IPCA oficial do IBGE: 4,26% em 2025, igual à “taxa no período” da nota 34 e.2 (p. 111/79), e 4,83% em 2024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Expectativa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 inicial × IPCA + transferências do ativo contratual × IPCA/2, supondo transferências distribuídas ao longo do ano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Precisão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modelo reproduz 2024 com −0,4% no consolidado; +0,05% na Paulista, −1,0% na RGE e −0,04% na Piratininga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Limite de investigação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30% da materialidade de execução = R$ 91.027 mil (julgamento, risco significativo)</w:t>
            </w:r>
          </w:p>
        </w:tc>
      </w:tr>
    </w:tbl>
    <w:p>
      <w:pPr>
        <w:pStyle w:val="BodyText"/>
        <w:rPr/>
      </w:pPr>
      <w:r>
        <w:rPr>
          <w:b/>
          <w:bCs/>
        </w:rPr>
        <w:t>3. Resultado</w:t>
      </w:r>
    </w:p>
    <w:tbl>
      <w:tblPr>
        <w:tblStyle w:val="Table"/>
        <w:tblW w:w="79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Entidade (2025)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VNR registrado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Expectativa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Diferença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Consolidado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1.285.173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1.145.694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139.479 (+12,2%)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635.251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484.800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150.451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RGE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469.006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496.590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(27.584)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Piratininga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171.723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149.849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21.874</w:t>
            </w:r>
          </w:p>
        </w:tc>
      </w:tr>
      <w:tr>
        <w:trPr/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Santa Cruz (por diferença)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9.193</w:t>
            </w:r>
          </w:p>
        </w:tc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14.455</w:t>
            </w: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(5.262)</w:t>
            </w:r>
          </w:p>
        </w:tc>
      </w:tr>
    </w:tbl>
    <w:p>
      <w:pPr>
        <w:pStyle w:val="BodyText"/>
        <w:rPr/>
      </w:pPr>
      <w:r>
        <w:rPr/>
        <w:t xml:space="preserve">A diferença consolidada </w:t>
      </w:r>
      <w:r>
        <w:rPr>
          <w:b/>
          <w:bCs/>
        </w:rPr>
        <w:t>excede o limite</w:t>
      </w:r>
      <w:r>
        <w:rPr/>
        <w:t xml:space="preserve"> e precisa ser investigada (item 7). Ela se concentra na CPFL Paulista, que explica 108% da diferença líquida.</w:t>
      </w:r>
    </w:p>
    <w:p>
      <w:pPr>
        <w:pStyle w:val="BodyText"/>
        <w:rPr/>
      </w:pPr>
      <w:r>
        <w:rPr>
          <w:b/>
          <w:bCs/>
        </w:rPr>
        <w:t>4. Investigação com fontes públicas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Documentado:</w:t>
      </w:r>
      <w:r>
        <w:rPr/>
        <w:t xml:space="preserve"> em 2025, a Paulista teve </w:t>
      </w:r>
      <w:r>
        <w:rPr>
          <w:b/>
          <w:bCs/>
        </w:rPr>
        <w:t>reajuste anual (RTA)</w:t>
      </w:r>
      <w:r>
        <w:rPr/>
        <w:t xml:space="preserve"> em 29/04/2025 (REH nº 3.452), e não revisão periódica (DF25 nota 26.2, p. 101/69). Uma reavaliação da base em revisão tarifária, que explicaria um salto, </w:t>
      </w:r>
      <w:r>
        <w:rPr>
          <w:b/>
          <w:bCs/>
        </w:rPr>
        <w:t>não está documentada</w:t>
      </w:r>
      <w:r>
        <w:rPr/>
        <w:t xml:space="preserve"> para 2025.</w:t>
      </w:r>
    </w:p>
    <w:p>
      <w:pPr>
        <w:pStyle w:val="Compact"/>
        <w:numPr>
          <w:ilvl w:val="0"/>
          <w:numId w:val="265"/>
        </w:numPr>
        <w:rPr/>
      </w:pPr>
      <w:r>
        <w:rPr>
          <w:b/>
          <w:bCs/>
        </w:rPr>
        <w:t>Hipóteses não comprovadas:</w:t>
      </w:r>
    </w:p>
    <w:p>
      <w:pPr>
        <w:pStyle w:val="Compact"/>
        <w:numPr>
          <w:ilvl w:val="1"/>
          <w:numId w:val="266"/>
        </w:numPr>
        <w:rPr/>
      </w:pPr>
      <w:r>
        <w:rPr/>
        <w:t>ajustes da base de remuneração por fiscalização ou laudo complementar;</w:t>
      </w:r>
    </w:p>
    <w:p>
      <w:pPr>
        <w:pStyle w:val="Compact"/>
        <w:numPr>
          <w:ilvl w:val="1"/>
          <w:numId w:val="267"/>
        </w:numPr>
        <w:rPr/>
      </w:pPr>
      <w:r>
        <w:rPr/>
        <w:t>diferença de índice ou de defasagem no cálculo da Paulista;</w:t>
      </w:r>
    </w:p>
    <w:p>
      <w:pPr>
        <w:pStyle w:val="Compact"/>
        <w:numPr>
          <w:ilvl w:val="1"/>
          <w:numId w:val="268"/>
        </w:numPr>
        <w:rPr/>
      </w:pPr>
      <w:r>
        <w:rPr/>
        <w:t>efeito de adições e unitizações ao longo do ano diferente do suposto.</w:t>
      </w:r>
    </w:p>
    <w:p>
      <w:pPr>
        <w:pStyle w:val="Compact"/>
        <w:numPr>
          <w:ilvl w:val="0"/>
          <w:numId w:val="269"/>
        </w:numPr>
        <w:rPr/>
      </w:pPr>
      <w:r>
        <w:rPr>
          <w:b/>
          <w:bCs/>
        </w:rPr>
        <w:t>Corroboração necessária:</w:t>
      </w:r>
      <w:r>
        <w:rPr/>
        <w:t xml:space="preserve"> indagar a administração e obter o cálculo do VNR da Paulista (520-04, planejado). Até lá, a diferença fica </w:t>
      </w:r>
      <w:r>
        <w:rPr>
          <w:b/>
          <w:bCs/>
        </w:rPr>
        <w:t>não explicada</w:t>
      </w:r>
      <w:r>
        <w:rPr/>
        <w:t xml:space="preserve"> e é levada ao PT 540 como possível indicador de viés.</w:t>
      </w:r>
    </w:p>
    <w:p>
      <w:pPr>
        <w:pStyle w:val="FirstParagraph"/>
        <w:rPr/>
      </w:pPr>
      <w:r>
        <w:rPr>
          <w:b/>
          <w:bCs/>
        </w:rPr>
        <w:t>5. Conciliação nota 11 × nota 34 (exatidão)</w:t>
      </w:r>
    </w:p>
    <w:p>
      <w:pPr>
        <w:pStyle w:val="BodyText"/>
        <w:rPr/>
      </w:pPr>
      <w:r>
        <w:rPr/>
        <w:t>O ganho reconhecido de 1.172.082 (nota 34 c, p. 110/78) é igual ao VNR de 1.285.173 menos a baixa da atualização de 113.091 (nota 11, p. 68). Diferença zero. A mesma relação vale para 2024: 1.104.267 − 96.326 = 1.007.941.</w:t>
      </w:r>
    </w:p>
    <w:p>
      <w:pPr>
        <w:pStyle w:val="BodyText"/>
        <w:rPr/>
      </w:pPr>
      <w:r>
        <w:rPr>
          <w:b/>
          <w:bCs/>
        </w:rPr>
        <w:t>6. Revisão analítica final das DF (item 6) — executada no Bloco 12 (23/10/2026)</w:t>
      </w:r>
    </w:p>
    <w:p>
      <w:pPr>
        <w:pStyle w:val="BodyText"/>
        <w:rPr/>
      </w:pPr>
      <w:r>
        <w:rPr/>
        <w:t>Objetivo: verificar se as DF, como um todo, são consistentes com o entendimento da entidade obtido nos PTs. Dados: BP e DRE consolidados (DF25 p. 34–36/2–4), aba PT520_Revisao_Final da planilha B12, com fórmulas.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62"/>
        <w:gridCol w:w="2216"/>
        <w:gridCol w:w="2215"/>
        <w:gridCol w:w="2216"/>
        <w:gridCol w:w="1663"/>
      </w:tblGrid>
      <w:tr>
        <w:trPr>
          <w:tblHeader w:val="true"/>
        </w:trPr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Indicador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2025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2024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Variação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Consistente com o entendimento?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Receita operacional líquida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44.367.780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42.628.210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+4,1%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Sim: reajustes tarifários (nota 26)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Margem bruta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31,8%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31,8%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0,0 p.p.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Sim: custo de energia repassado pela tarifa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 do serviço ÷ receita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24,3%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24,6%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−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0,3 p.p.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Despesas financeiras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4.942.969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4.343.203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+13,8%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Sim: dívida estável; taxa CDI/SELIC de 14,90% no fim de 2025 (nota 34 e.2, p. 111)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LAIR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8.091.246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8.088.893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+0,0%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Taxa efetiva (IR + CS ÷ LAIR)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29,0%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28,8%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+0,3 p.p.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29.623.619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25.209.768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+17,5%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Parcial: VNR acima da expectativa (seção 4; PB09-01)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contratual (circulante + não circulante)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12.859.523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11.138.706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+15,4%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Sim: investimentos; transferência para o AFC (nota 11)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setorial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2.402.307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730.965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+228,6%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Explicado qualitativamente (nota 9, p. 64–65: CVA e transferência de 1.844.610 de PIS/COFINS); posição líquida setorial de 411.659 confere com a nota 34 e.2 (p. 111). Movimentação numérica não reconferida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PIS/COFINS a devolver (passivo)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3.402.844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4.936.756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−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31,1%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Sim: transferência para o setorial (nota 9)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Empréstimos + debêntures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29.055.727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28.788.338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+0,9%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Mútuo com partes relacionadas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4.412.650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2.485.694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+77,5%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Sim: troca dos mútuos SGBP por SGEL (PT 550)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Caixa + TVM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2.905.082</w:t>
            </w:r>
          </w:p>
        </w:tc>
        <w:tc>
          <w:tcPr>
            <w:tcW w:w="22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3.547.055</w:t>
            </w:r>
          </w:p>
        </w:tc>
        <w:tc>
          <w:tcPr>
            <w:tcW w:w="2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−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18,1%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Plausível: dividendos e amortizações (DFC p. 39); não decomposto</w:t>
            </w:r>
          </w:p>
        </w:tc>
      </w:tr>
    </w:tbl>
    <w:p>
      <w:pPr>
        <w:pStyle w:val="BodyText"/>
        <w:rPr/>
      </w:pPr>
      <w:r>
        <w:rPr>
          <w:b/>
          <w:bCs/>
        </w:rPr>
        <w:t>Conclusão da revisão final.</w:t>
      </w:r>
      <w:r>
        <w:rPr/>
        <w:t xml:space="preserve"> Nenhuma variação nova e inesperada além das já tratadas: o VNR (PT 540) e o ativo setorial, cuja explicação é qualitativa. Pelo item 7, o setorial ficaria para indagação, com movimentação da nota 9 a reconferir se o acesso existisse. Não altera a avaliação de riscos (PT 315).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34–36, 39, 44, 59, 68, 101, 110–111; DFs individuais (pasta 06), notas 11; IBGE — IPCA 2025 e 2024; CPFL_B09_Abertura_Analiticos_Estimativas_PartesRel.xlsx. Referências cruzadas: PT 315 (R01, R13, R17), PT 540, PT 550, PT 570. Bloco 12: CPFL_B12_Revisao_Tecnica_Cobertura.xlsx (PT520_Revisao_Final); DF25 p. 64–65 e 111.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Diferença de R$ 139.479 mil (+12,2%) acima do limite de R$ 91.027 mil, concentrada na Paulista e não explicada por documentação pública. Modelo aderente em 2024. Conciliação nota 11 × nota 34 sem diferença nos dois anos. Indicadores de planejamento confirmam R01, R13 e R17. Revisão analítica final (item 6, Bloco 12): sem variação nova inesperada; ativo setorial (+228,6%) explicado qualitativamente pela nota 9.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analítico substantivo não fornece, sozinho, evidência suficiente sobre o VNR de 2025: a diferença exige corroboração junto à administração (planejada). A diferença representa 34% da materialidade global e não leva, isoladamente, a concluir por distorção.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expectativa é aproximação didática, não o modelo da administração (base de remuneração item a item). Não houve indagação. O saldo da Santa Cruz foi derivado por diferença.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Adequação, confiabilidade dos dados, expectativa e limite em analíticos substantivos (item 5); revisão analítica final (item 6); investigação (item 7).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Precisão da expectativa e fatores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Modelo de expectativa do VNR e limite de 30% da execução (D-B09-01).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48" w:name="__RefHeading___Toc31527_1660191972"/>
      <w:bookmarkEnd w:id="48"/>
      <w:r>
        <w:rPr/>
        <w:t>PT 530 — Amostragem em auditoria — ativo financeiro da concessão (base sintética)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530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Amostragem em auditoria — ativo financeiro da concessão (base sintética). NBC TA 530 (Res. CFC 1.222/2009; NORMAS p. 530–548). Itens: 5 (definições: amostragem, risco de amostragem, anomalia, amostragem estatística, distorção tolerável; p. 533–534), 6–8 (definição, tamanho e seleção; p. 535), 9–11 (execução e substituição), 12–13 (natureza e causa; anomalia), 14 (projeção; p. 536), 15 (avaliação); A3 (distorção tolerável), A10–A13 (tamanho e seleção; p. 538), A18–A23 (projeção e avaliação; p. 539–540); Apêndice 3 (fatores de tamanho em testes de detalhes; p. 544–545) e Apêndice 4 (métodos de seleção; p. 547). Apoio: NBC TA 500 item 10 (p. 449) e NBC TA 330 item 21 (p. 384).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Obter base razoável para concluir se o saldo registrado do ativo financeiro da concessão (base sintética de 501.000 registros) contém superavaliação acima da distorção tolerável. Combina procedimentos integrais por computador e amostragem estatística por unidade monetária.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concessão: R$ 29.623.619 mil (DF25 BP p. 34; nota 11 p. 68). Base SINTÉTICA v2 conciliada no PT 500.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 e direitos (duplicidades, bens baixados), avaliação (valor do bem) e classificação (categoria). Risco significativo R01 (PT 315), resposta exclusivamente substantiva (PT 330).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501.000 registros; R$ 29.623.619.000,00; SHA-256 877d4a02…4bb0 (conferido pelo código). Completude: conciliação do Bloco 07. Unidade amostral do MUS: cada real do saldo. Amostra: saida_b08/MUS_amostra_resultados.csv (385 itens) e MUS_ampliacao_residual.csv (492 itens). Memória de cálculo: CPFL_B08_Amostragem_Testes_Distorcoes.xlsx.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530-01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Registrar o desenho (objetivo, população, unidade, método, parâmetros, regras de decisão) no Drive antes da execução — 23/10/2026 19:54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(registro documental)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530-02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T1–T4: testes integrais por computador em 100% da população (não são amostragem)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530-03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MUS: dimensionar (n = 385), selecionar sistematicamente com semente e avaliar pelo limite de Stringer a 95%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530-04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Investigar natureza e causa das distorções da amostra; ampliar a amostra na população residual (n2 = 492)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530-05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Congelar código, parâmetros, seleção, resultados e hashes no Drive (19:55:53) antes de abrir o registro reservado de erros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(registro documental)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530-06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Comparar com o registro reservado: detecções, omissões, falsos positivos e cobertura do limite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530-07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Na CPFL real: inspecionar laudo de VNR, base de remuneração homologada e existência física dos itens sorteados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Escolha do desenho e o que é julgamento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Elemento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Escolha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Exigência normativa ou julgamento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Tipo de teste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Testes de detalhes. Não há testes de controles (não testados)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Item 1; 330 item 21: risco significativo só com substantivos exige testes de detalhes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Procedimentos integrais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T1 duplicidade, T2 baixado com valor, T3 recálculo (limite de 1%), T4 coerência residual × categoria (limite de 0,00015)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Julgamento. Não é amostragem (item 5)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Amostragem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Estatística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: seleção aleatória (ponto inicial com semente)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e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avaliação por teoria das probabilidades (Poisson)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Atributos (a) e (b) do item 5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Método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Unidade monetária (MUS), sistemático por intervalo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Apêndice 4. Adequado a superavaliação de saldos de ativo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Distorção tolerável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R$ 303.421.730 = materialidade de execução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A3: pode ser igual ou menor. Julgamento (D-B04-01)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de aceitação incorreta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5%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Julgamento: risco significativo, sem confiança em controles (Apêndice 3)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Distorção esperada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R$ 45.513.259,50 (15% da DT)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Julgamento didático fixado antes dos testes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 de expansão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Literatura (AICPA, </w:t>
            </w:r>
            <w:r>
              <w:rPr>
                <w:i/>
                <w:iCs/>
                <w:kern w:val="0"/>
                <w:sz w:val="17"/>
                <w:szCs w:val="24"/>
                <w:lang w:val="pt-BR" w:eastAsia="en-US" w:bidi="ar-SA"/>
              </w:rPr>
              <w:t>Audit Sampling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), não norma</w:t>
            </w:r>
          </w:p>
        </w:tc>
      </w:tr>
    </w:tbl>
    <w:p>
      <w:pPr>
        <w:pStyle w:val="BodyText"/>
        <w:rPr/>
      </w:pPr>
      <w:r>
        <w:rPr/>
        <w:t xml:space="preserve">O tamanho não decorre de regra arbitrária, como “30 itens”. Decorre da fórmula n = VC × FC ÷ (DT − DE × FE) = 29.623.619.000 × 2,9957 ÷ (303.421.730 − 1,6 × 45.513.259,50) = </w:t>
      </w:r>
      <w:r>
        <w:rPr>
          <w:b/>
          <w:bCs/>
        </w:rPr>
        <w:t>385</w:t>
      </w:r>
      <w:r>
        <w:rPr/>
        <w:t>. O intervalo é J = R$ 76.944.464,94 e o ponto inicial, R$ 26.922.277,72.</w:t>
      </w:r>
    </w:p>
    <w:p>
      <w:pPr>
        <w:pStyle w:val="Compact"/>
        <w:numPr>
          <w:ilvl w:val="0"/>
          <w:numId w:val="270"/>
        </w:numPr>
        <w:rPr/>
      </w:pPr>
      <w:r>
        <w:rPr>
          <w:b/>
          <w:bCs/>
        </w:rPr>
        <w:t>Saldos nulos ou negativos:</w:t>
      </w:r>
      <w:r>
        <w:rPr/>
        <w:t xml:space="preserve"> não há; o código para se houver.</w:t>
      </w:r>
    </w:p>
    <w:p>
      <w:pPr>
        <w:pStyle w:val="Compact"/>
        <w:numPr>
          <w:ilvl w:val="0"/>
          <w:numId w:val="271"/>
        </w:numPr>
        <w:rPr/>
      </w:pPr>
      <w:r>
        <w:rPr>
          <w:b/>
          <w:bCs/>
        </w:rPr>
        <w:t>Itens ≥ J:</w:t>
      </w:r>
      <w:r>
        <w:rPr/>
        <w:t xml:space="preserve"> nenhum (o maior tem cerca de R$ 3,6 milhões). Por isso não há estrato de seleção integral.</w:t>
      </w:r>
    </w:p>
    <w:p>
      <w:pPr>
        <w:pStyle w:val="Compact"/>
        <w:numPr>
          <w:ilvl w:val="0"/>
          <w:numId w:val="272"/>
        </w:numPr>
        <w:rPr/>
      </w:pPr>
      <w:r>
        <w:rPr>
          <w:b/>
          <w:bCs/>
        </w:rPr>
        <w:t>Seleção repetida:</w:t>
      </w:r>
      <w:r>
        <w:rPr/>
        <w:t xml:space="preserve"> nenhum item foi selecionado mais de uma vez.</w:t>
      </w:r>
    </w:p>
    <w:p>
      <w:pPr>
        <w:pStyle w:val="Compact"/>
        <w:numPr>
          <w:ilvl w:val="0"/>
          <w:numId w:val="273"/>
        </w:numPr>
        <w:rPr/>
      </w:pPr>
      <w:r>
        <w:rPr>
          <w:b/>
          <w:bCs/>
        </w:rPr>
        <w:t>Estratificação:</w:t>
      </w:r>
      <w:r>
        <w:rPr/>
        <w:t xml:space="preserve"> feita implicitamente pelo valor. As subestações, com 3% das linhas e 52% do valor, recebem mais pontos de seleção.</w:t>
      </w:r>
    </w:p>
    <w:p>
      <w:pPr>
        <w:pStyle w:val="FirstParagraph"/>
        <w:rPr/>
      </w:pPr>
      <w:r>
        <w:rPr>
          <w:b/>
          <w:bCs/>
        </w:rPr>
        <w:t>2. Resultados dos testes integrais (100%)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19"/>
        <w:gridCol w:w="3627"/>
        <w:gridCol w:w="3626"/>
      </w:tblGrid>
      <w:tr>
        <w:trPr>
          <w:tblHeader w:val="true"/>
        </w:trPr>
        <w:tc>
          <w:tcPr>
            <w:tcW w:w="271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</w:t>
            </w:r>
          </w:p>
        </w:tc>
        <w:tc>
          <w:tcPr>
            <w:tcW w:w="3627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Itens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no saldo (R$)</w:t>
            </w:r>
          </w:p>
        </w:tc>
      </w:tr>
      <w:tr>
        <w:trPr/>
        <w:tc>
          <w:tcPr>
            <w:tcW w:w="2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T1 duplicidades (registros excedentes; 1.000 pares com atributos idênticos)</w:t>
            </w:r>
          </w:p>
        </w:tc>
        <w:tc>
          <w:tcPr>
            <w:tcW w:w="3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59.975.200,49</w:t>
            </w:r>
          </w:p>
        </w:tc>
      </w:tr>
      <w:tr>
        <w:trPr/>
        <w:tc>
          <w:tcPr>
            <w:tcW w:w="2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T2 bens BAIXADOS com valor</w:t>
            </w:r>
          </w:p>
        </w:tc>
        <w:tc>
          <w:tcPr>
            <w:tcW w:w="3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56.070.250,89</w:t>
            </w:r>
          </w:p>
        </w:tc>
      </w:tr>
      <w:tr>
        <w:trPr/>
        <w:tc>
          <w:tcPr>
            <w:tcW w:w="2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T3 superavaliação (&gt; 1%)</w:t>
            </w:r>
          </w:p>
        </w:tc>
        <w:tc>
          <w:tcPr>
            <w:tcW w:w="3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8.250.695,88</w:t>
            </w:r>
          </w:p>
        </w:tc>
      </w:tr>
      <w:tr>
        <w:trPr/>
        <w:tc>
          <w:tcPr>
            <w:tcW w:w="2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T3 subavaliação (&lt; −1%)</w:t>
            </w:r>
          </w:p>
        </w:tc>
        <w:tc>
          <w:tcPr>
            <w:tcW w:w="3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(6.811.809,08)</w:t>
            </w:r>
          </w:p>
        </w:tc>
      </w:tr>
      <w:tr>
        <w:trPr/>
        <w:tc>
          <w:tcPr>
            <w:tcW w:w="2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T4 residual incoerente com a categoria cadastrada</w:t>
            </w:r>
          </w:p>
        </w:tc>
        <w:tc>
          <w:tcPr>
            <w:tcW w:w="3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996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— 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(classificação)</w:t>
            </w:r>
          </w:p>
        </w:tc>
      </w:tr>
      <w:tr>
        <w:trPr/>
        <w:tc>
          <w:tcPr>
            <w:tcW w:w="2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Distorção conhecida líquida</w:t>
            </w:r>
          </w:p>
        </w:tc>
        <w:tc>
          <w:tcPr>
            <w:tcW w:w="3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117.484.338,18</w:t>
            </w:r>
          </w:p>
        </w:tc>
      </w:tr>
    </w:tbl>
    <w:p>
      <w:pPr>
        <w:pStyle w:val="BodyText"/>
        <w:rPr/>
      </w:pPr>
      <w:r>
        <w:rPr>
          <w:b/>
          <w:bCs/>
        </w:rPr>
        <w:t>3. Resultado da amostra MUS e resposta</w:t>
      </w:r>
    </w:p>
    <w:p>
      <w:pPr>
        <w:pStyle w:val="Compact"/>
        <w:numPr>
          <w:ilvl w:val="0"/>
          <w:numId w:val="274"/>
        </w:numPr>
        <w:rPr/>
      </w:pPr>
      <w:r>
        <w:rPr>
          <w:b/>
          <w:bCs/>
        </w:rPr>
        <w:t>Amostra.</w:t>
      </w:r>
      <w:r>
        <w:rPr/>
        <w:t xml:space="preserve"> Dos 385 itens, 6 tinham distorção: 4 superavaliações (2 BAIXADO e 2 registros excedentes de duplicidade, </w:t>
      </w:r>
      <w:r>
        <w:rPr>
          <w:i/>
          <w:iCs/>
        </w:rPr>
        <w:t>taint</w:t>
      </w:r>
      <w:r>
        <w:rPr/>
        <w:t xml:space="preserve"> 100%) e 2 subavaliações.</w:t>
      </w:r>
    </w:p>
    <w:p>
      <w:pPr>
        <w:pStyle w:val="Compact"/>
        <w:numPr>
          <w:ilvl w:val="1"/>
          <w:numId w:val="275"/>
        </w:numPr>
        <w:rPr/>
      </w:pPr>
      <w:r>
        <w:rPr/>
        <w:t>Distorção projetada de superavaliação: R$ 307.777.859,74.</w:t>
      </w:r>
    </w:p>
    <w:p>
      <w:pPr>
        <w:pStyle w:val="Compact"/>
        <w:numPr>
          <w:ilvl w:val="1"/>
          <w:numId w:val="276"/>
        </w:numPr>
        <w:rPr/>
      </w:pPr>
      <w:r>
        <w:rPr/>
        <w:t>Precisão básica: R$ 230.505.016,88.</w:t>
      </w:r>
    </w:p>
    <w:p>
      <w:pPr>
        <w:pStyle w:val="Compact"/>
        <w:numPr>
          <w:ilvl w:val="1"/>
          <w:numId w:val="277"/>
        </w:numPr>
        <w:rPr/>
      </w:pPr>
      <w:r>
        <w:rPr/>
        <w:t xml:space="preserve">Limite superior (UML): </w:t>
      </w:r>
      <w:r>
        <w:rPr>
          <w:b/>
          <w:bCs/>
        </w:rPr>
        <w:t>R$ 704.312.623,78 &gt; DT</w:t>
      </w:r>
      <w:r>
        <w:rPr/>
        <w:t xml:space="preserve"> (aba Avaliacao_MUS).</w:t>
      </w:r>
    </w:p>
    <w:p>
      <w:pPr>
        <w:pStyle w:val="Compact"/>
        <w:numPr>
          <w:ilvl w:val="0"/>
          <w:numId w:val="278"/>
        </w:numPr>
        <w:rPr/>
      </w:pPr>
      <w:r>
        <w:rPr>
          <w:b/>
          <w:bCs/>
        </w:rPr>
        <w:t>Leitura correta dos três números:</w:t>
      </w:r>
    </w:p>
    <w:p>
      <w:pPr>
        <w:pStyle w:val="Compact"/>
        <w:numPr>
          <w:ilvl w:val="1"/>
          <w:numId w:val="279"/>
        </w:numPr>
        <w:rPr/>
      </w:pPr>
      <w:r>
        <w:rPr/>
        <w:t xml:space="preserve">a </w:t>
      </w:r>
      <w:r>
        <w:rPr>
          <w:b/>
          <w:bCs/>
        </w:rPr>
        <w:t>soma das distorções da amostra</w:t>
      </w:r>
      <w:r>
        <w:rPr/>
        <w:t xml:space="preserve"> é R$ 1.534.709,56;</w:t>
      </w:r>
    </w:p>
    <w:p>
      <w:pPr>
        <w:pStyle w:val="Compact"/>
        <w:numPr>
          <w:ilvl w:val="1"/>
          <w:numId w:val="280"/>
        </w:numPr>
        <w:rPr/>
      </w:pPr>
      <w:r>
        <w:rPr/>
        <w:t xml:space="preserve">a </w:t>
      </w:r>
      <w:r>
        <w:rPr>
          <w:b/>
          <w:bCs/>
        </w:rPr>
        <w:t>distorção projetada</w:t>
      </w:r>
      <w:r>
        <w:rPr/>
        <w:t xml:space="preserve"> estende essas distorções à população;</w:t>
      </w:r>
    </w:p>
    <w:p>
      <w:pPr>
        <w:pStyle w:val="Compact"/>
        <w:numPr>
          <w:ilvl w:val="1"/>
          <w:numId w:val="281"/>
        </w:numPr>
        <w:rPr/>
      </w:pPr>
      <w:r>
        <w:rPr/>
        <w:t xml:space="preserve">o </w:t>
      </w:r>
      <w:r>
        <w:rPr>
          <w:b/>
          <w:bCs/>
        </w:rPr>
        <w:t>limite superior</w:t>
      </w:r>
      <w:r>
        <w:rPr/>
        <w:t xml:space="preserve"> soma a projeção ao risco de amostragem.</w:t>
      </w:r>
    </w:p>
    <w:p>
      <w:pPr>
        <w:pStyle w:val="Compact"/>
        <w:numPr>
          <w:ilvl w:val="0"/>
          <w:numId w:val="1"/>
        </w:numPr>
        <w:rPr/>
      </w:pPr>
      <w:r>
        <w:rPr/>
        <w:t>Nenhum deles é a distorção real da população.</w:t>
      </w:r>
    </w:p>
    <w:p>
      <w:pPr>
        <w:pStyle w:val="Compact"/>
        <w:numPr>
          <w:ilvl w:val="0"/>
          <w:numId w:val="282"/>
        </w:numPr>
        <w:rPr/>
      </w:pPr>
      <w:r>
        <w:rPr>
          <w:b/>
          <w:bCs/>
        </w:rPr>
        <w:t>Natureza e causa (item 12).</w:t>
      </w:r>
      <w:r>
        <w:rPr/>
        <w:t xml:space="preserve"> Todas as 6 distorções pertencem a classes que os testes integrais identificaram por completo. São sistemáticas e </w:t>
      </w:r>
      <w:r>
        <w:rPr>
          <w:b/>
          <w:bCs/>
        </w:rPr>
        <w:t>não são anomalias</w:t>
      </w:r>
      <w:r>
        <w:rPr/>
        <w:t xml:space="preserve">, então o item 13 não se aplica. A distorção dessas classes é </w:t>
      </w:r>
      <w:r>
        <w:rPr>
          <w:b/>
          <w:bCs/>
        </w:rPr>
        <w:t>conhecida</w:t>
      </w:r>
      <w:r>
        <w:rPr/>
        <w:t>, não projetada.</w:t>
      </w:r>
    </w:p>
    <w:p>
      <w:pPr>
        <w:pStyle w:val="Compact"/>
        <w:numPr>
          <w:ilvl w:val="0"/>
          <w:numId w:val="283"/>
        </w:numPr>
        <w:rPr/>
      </w:pPr>
      <w:r>
        <w:rPr>
          <w:b/>
          <w:bCs/>
        </w:rPr>
        <w:t>Ampliação antes de afirmar suficiência (item 15(b)).</w:t>
      </w:r>
    </w:p>
    <w:p>
      <w:pPr>
        <w:pStyle w:val="Compact"/>
        <w:numPr>
          <w:ilvl w:val="1"/>
          <w:numId w:val="284"/>
        </w:numPr>
        <w:rPr/>
      </w:pPr>
      <w:r>
        <w:rPr/>
        <w:t>A população residual exclui os 4.000 registros sinalizados: R$ 29.379.887.051,80.</w:t>
      </w:r>
    </w:p>
    <w:p>
      <w:pPr>
        <w:pStyle w:val="Compact"/>
        <w:numPr>
          <w:ilvl w:val="1"/>
          <w:numId w:val="285"/>
        </w:numPr>
        <w:rPr/>
      </w:pPr>
      <w:r>
        <w:rPr/>
        <w:t>A folga é a DT menos a superavaliação conhecida bruta (R$ 124.296.147,26): R$ 179.125.582,74.</w:t>
      </w:r>
    </w:p>
    <w:p>
      <w:pPr>
        <w:pStyle w:val="Compact"/>
        <w:numPr>
          <w:ilvl w:val="1"/>
          <w:numId w:val="286"/>
        </w:numPr>
        <w:rPr/>
      </w:pPr>
      <w:r>
        <w:rPr/>
        <w:t xml:space="preserve">Nova amostra independente (semente 2310200699): n2 = 492, J2 = R$ 59.715.217,58. Resultado: </w:t>
      </w:r>
      <w:r>
        <w:rPr>
          <w:b/>
          <w:bCs/>
        </w:rPr>
        <w:t>0 distorções</w:t>
      </w:r>
      <w:r>
        <w:rPr/>
        <w:t>; 2 itens com incoerência de categoria, sem efeito monetário.</w:t>
      </w:r>
    </w:p>
    <w:p>
      <w:pPr>
        <w:pStyle w:val="Compact"/>
        <w:numPr>
          <w:ilvl w:val="1"/>
          <w:numId w:val="287"/>
        </w:numPr>
        <w:rPr/>
      </w:pPr>
      <w:r>
        <w:rPr/>
        <w:t>UML residual = 2,9957 × J2 = R$ 178.890.804,54.</w:t>
      </w:r>
    </w:p>
    <w:p>
      <w:pPr>
        <w:pStyle w:val="Compact"/>
        <w:numPr>
          <w:ilvl w:val="1"/>
          <w:numId w:val="288"/>
        </w:numPr>
        <w:rPr/>
      </w:pPr>
      <w:r>
        <w:rPr>
          <w:b/>
          <w:bCs/>
        </w:rPr>
        <w:t>Superavaliação conhecida + UML residual = R$ 303.186.951,80 ≤ DT (R$ 303.421.730).</w:t>
      </w:r>
    </w:p>
    <w:p>
      <w:pPr>
        <w:pStyle w:val="FirstParagraph"/>
        <w:rPr/>
      </w:pPr>
      <w:r>
        <w:rPr>
          <w:b/>
          <w:bCs/>
        </w:rPr>
        <w:t>4. Comparação com o registro reservado (feita após o congelamento)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74"/>
        <w:gridCol w:w="2099"/>
        <w:gridCol w:w="2099"/>
        <w:gridCol w:w="2100"/>
        <w:gridCol w:w="2100"/>
      </w:tblGrid>
      <w:tr>
        <w:trPr>
          <w:tblHeader w:val="true"/>
        </w:trPr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 × tipo de erro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Verdadeiros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Detectados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Omitidos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Falsos positivos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T1 duplicidade (nível de par)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T2 baixado mantido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T3 superavaliação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T3 subavaliação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T4 classificação incorreta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1.000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996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</w:t>
            </w:r>
          </w:p>
        </w:tc>
      </w:tr>
    </w:tbl>
    <w:p>
      <w:pPr>
        <w:pStyle w:val="Compact"/>
        <w:numPr>
          <w:ilvl w:val="0"/>
          <w:numId w:val="289"/>
        </w:numPr>
        <w:rPr/>
      </w:pPr>
      <w:r>
        <w:rPr>
          <w:b/>
          <w:bCs/>
        </w:rPr>
        <w:t>Efeito monetário.</w:t>
      </w:r>
      <w:r>
        <w:rPr/>
        <w:t xml:space="preserve"> O efeito estimado é igual ao verdadeiro em todos os tipos (diferença total de R$ 0,02, de arredondamento). A ponte confere: publicado R$ 29.623.619.000,00 − efeito R$ 117.484.338,16 = referência R$ 29.506.134.661,84.</w:t>
      </w:r>
    </w:p>
    <w:p>
      <w:pPr>
        <w:pStyle w:val="Compact"/>
        <w:numPr>
          <w:ilvl w:val="0"/>
          <w:numId w:val="290"/>
        </w:numPr>
        <w:rPr/>
      </w:pPr>
      <w:r>
        <w:rPr>
          <w:b/>
          <w:bCs/>
        </w:rPr>
        <w:t>Omissões do T4.</w:t>
      </w:r>
      <w:r>
        <w:rPr/>
        <w:t xml:space="preserve"> As 4 omissões são bens totalmente depreciados (residual no piso de 0,01). Nesse nível, o residual não distingue a categoria. É uma limitação do teste, que </w:t>
      </w:r>
      <w:r>
        <w:rPr>
          <w:b/>
          <w:bCs/>
        </w:rPr>
        <w:t>não</w:t>
      </w:r>
      <w:r>
        <w:rPr/>
        <w:t xml:space="preserve"> foi ajustado depois de conhecido o resultado.</w:t>
      </w:r>
    </w:p>
    <w:p>
      <w:pPr>
        <w:pStyle w:val="Compact"/>
        <w:numPr>
          <w:ilvl w:val="0"/>
          <w:numId w:val="291"/>
        </w:numPr>
        <w:rPr/>
      </w:pPr>
      <w:r>
        <w:rPr>
          <w:b/>
          <w:bCs/>
        </w:rPr>
        <w:t>Convenção do T1.</w:t>
      </w:r>
      <w:r>
        <w:rPr/>
        <w:t xml:space="preserve"> A regra “id maior = excedente” acertou o registro em 497 de 1.000 casos. O par e o valor estão sempre certos, mas a identificação de qual é o original exigiria documento (data de cadastro).</w:t>
      </w:r>
    </w:p>
    <w:p>
      <w:pPr>
        <w:pStyle w:val="Compact"/>
        <w:numPr>
          <w:ilvl w:val="0"/>
          <w:numId w:val="292"/>
        </w:numPr>
        <w:rPr/>
      </w:pPr>
      <w:r>
        <w:rPr>
          <w:b/>
          <w:bCs/>
        </w:rPr>
        <w:t>Projeção da amostra original.</w:t>
      </w:r>
      <w:r>
        <w:rPr/>
        <w:t xml:space="preserve"> A projeção (R$ 307,8 milhões) superou a verdade (R$ 124,3 milhões) em R$ 183,5 milhões. O erro de projeção é esperado com poucos erros de </w:t>
      </w:r>
      <w:r>
        <w:rPr>
          <w:i/>
          <w:iCs/>
        </w:rPr>
        <w:t>taint</w:t>
      </w:r>
      <w:r>
        <w:rPr/>
        <w:t xml:space="preserve"> 100%. O UML cobriu a verdade, como deve ocorrer em pelo menos 95% das amostras.</w:t>
      </w:r>
    </w:p>
    <w:p>
      <w:pPr>
        <w:pStyle w:val="FirstParagraph"/>
        <w:rPr/>
      </w:pPr>
      <w:r>
        <w:rPr>
          <w:b/>
          <w:bCs/>
        </w:rPr>
        <w:t>5. O que isto demonstra e o que não demonstra</w:t>
      </w:r>
    </w:p>
    <w:p>
      <w:pPr>
        <w:pStyle w:val="Compact"/>
        <w:numPr>
          <w:ilvl w:val="0"/>
          <w:numId w:val="293"/>
        </w:numPr>
        <w:rPr/>
      </w:pPr>
      <w:r>
        <w:rPr>
          <w:b/>
          <w:bCs/>
        </w:rPr>
        <w:t>Demonstra:</w:t>
      </w:r>
      <w:r>
        <w:rPr/>
        <w:t xml:space="preserve"> a execução reproduzível do desenho, da seleção, da projeção, da avaliação e da ampliação.</w:t>
      </w:r>
    </w:p>
    <w:p>
      <w:pPr>
        <w:pStyle w:val="Compact"/>
        <w:numPr>
          <w:ilvl w:val="0"/>
          <w:numId w:val="294"/>
        </w:numPr>
        <w:rPr/>
      </w:pPr>
      <w:r>
        <w:rPr>
          <w:b/>
          <w:bCs/>
        </w:rPr>
        <w:t>Não demonstra:</w:t>
      </w:r>
      <w:r>
        <w:rPr/>
        <w:t xml:space="preserve"> eficácia em dados reais. A mesma IA desenhou os erros e os testes, e o “valor auditado” de cada item sorteado foi obtido pelas mesmas regras T1–T3. A amostra não poderia revelar tipos de erro fora dessas regras.</w:t>
      </w:r>
    </w:p>
    <w:p>
      <w:pPr>
        <w:pStyle w:val="FirstParagraph"/>
        <w:rPr/>
      </w:pPr>
      <w:r>
        <w:rPr/>
        <w:t>Na CPFL real, os itens sorteados seriam testados contra documentos e inspeção física (530-07, planejado).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B08_Desenho_pre_registro.md e B08_congelamento.json (Drive 04_Testes; registrados às 19:54 e 19:55:53 de 23/10/2026); testes_b08.py, avaliacao_complementar_b08.py, comparar_gabarito_b08.py, parametros_b08.json; saídas em saida_b08/; CPFL_B08_Amostragem_Testes_Distorcoes.xlsx. Referências cruzadas: PT 315 (R01), PT 320, PT 330, PT 450, PT 500.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Testes integrais: 4.000 registros com distorção de valor ou existência e 996 com incoerência de categoria. Distorção conhecida líquida de R$ 117,5 milhões. MUS inicial: UML de R$ 704,3 milhões &gt; DT, o que levou à ampliação. Ampliação: 0 distorções em 492 itens. Conhecida + UML residual = R$ 303,19 milhões ≤ DT. Pós-congelamento: 100% de detecção em T1–T3, 99,6% em T4, 0 falsos positivos.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 ambiente simulado, a combinação de testes integrais e MUS ampliado forneceu base razoável (item 15) para concluir que a superavaliação não corrigida não excede a distorção tolerável, desde que a distorção conhecida seja tratada no PT 450. A margem é estreita (99,9% da DT), o que reforça a solicitação de correção. Não é conclusão sobre a CPFL.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100% sintética. Os parâmetros DT, risco, DE e FE são julgamentos didáticos. Não é teste cego independente. O MUS é fraco para subavaliação (coberta pelo T3). A identificação do registro excedente no T1 é convencional. O T4 não distingue categorias no piso de depreciação.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Desenho da amostra, tamanho, seleção, natureza das distorções, projeção e avaliação (itens 6–15).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Fatores que afetam o tamanho e métodos de seleção (A10–A23, apêndices).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MUS com parâmetros pré-registrados e ampliação residual (D-B08-01, D-B08-02).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49" w:name="__RefHeading___Toc31529_1660191972"/>
      <w:bookmarkEnd w:id="49"/>
      <w:r>
        <w:rPr/>
        <w:t>PT 540 — Auditoria de estimativas contábeis — valor justo do ativo financeiro da concessão (VNR)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540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Auditoria de estimativas contábeis — valor justo do ativo financeiro da concessão (VNR). NBC TA 540 (R2) (DOU 23/10/2019; NORMAS p. 548–599). Itens: 13 (entendimento), 14 (revisão retrospectiva; p. 553), 16–17 (riscos inerentes: incerteza, complexidade, subjetividade; risco significativo; p. 554), 18–21 (respostas), 22–27 (como a administração elaborou: métodos 23, premissas significativas 24, dados 25, incerteza e divulgação 26; p. 555–556), 28–29 (estimativa pontual ou intervalo do auditor), 32 (indicadores de viés; p. 557), 33–36 (avaliação geral e razoabilidade; p. 558), 37 (representações).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se o valor justo do ativo financeiro da concessão (R$ 29.623.619 mil; ajuste de 2025 de R$ 1.285.173 mil) e as divulgações relacionadas são razoáveis, considerando método, premissas, dados, incerteza, possível viés e a renovação das concessões.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 (nota 11, p. 68), mensurado a valor justo de nível 3 (nota 3, p. 47; nota 4, p. 59; nota 34); receita de atualização (nota 26).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Avaliação, classificação e divulgação. Risco significativo R01 e PAA 3 da PwC (DF25 p. 29); R18 (renovação); R16 (viés da administração).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29, 44, 47, 59, 68, 101, 110–111; DFs individuais (notas 11); ITR 2T26 nota 1.2 (p. 43/9) e nota 11 (p. 49/15); Fato Relevante de 08/05/2026; CPFL_B09_Abertura_Analiticos_Estimativas_PartesRel.xlsx, aba PT540_Sensibilidade.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Entender o método, as premissas e os dados da administração e avaliar os riscos inerentes (itens 13 e 16)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retrospectiva: VNR de 2024 e 2025 × modelo de IPCA (item 14)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Testar a premissa de IPCA contra fonte oficial (item 24)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Sensibilidade reproduzível (IPCA ±0,5/±1 p.p.; base homologada ±2%/±5%) e reprodução da sensibilidade divulgada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(aproximação)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Testar a base de remuneração homologada, o cadastro e o laudo de VNR (itens 23 e 25); desenvolver estimativa pontual ou intervalo (item 28)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indicadores de viés (item 32) e a divulgação da incerteza e da renovação (itens 26 e 36)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540-07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Testes de existência e avaliação no cadastro (simulação)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 (PT 530)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A estimativa e seus riscos inerentes (itens 13 e 16)</w:t>
      </w:r>
    </w:p>
    <w:p>
      <w:pPr>
        <w:pStyle w:val="BodyText"/>
        <w:rPr/>
      </w:pPr>
      <w:r>
        <w:rPr/>
        <w:t>O direito de indenização ao fim da concessão é mensurado a valor justo de nível 3:</w:t>
      </w:r>
    </w:p>
    <w:p>
      <w:pPr>
        <w:pStyle w:val="Compact"/>
        <w:numPr>
          <w:ilvl w:val="0"/>
          <w:numId w:val="295"/>
        </w:numPr>
        <w:rPr/>
      </w:pPr>
      <w:r>
        <w:rPr>
          <w:b/>
          <w:bCs/>
        </w:rPr>
        <w:t>Ponto de partida:</w:t>
      </w:r>
      <w:r>
        <w:rPr/>
        <w:t xml:space="preserve"> a base de remuneração avaliada a VNR na revisão tarifária, a cada 4 ou 5 anos, homologada pela ANEEL.</w:t>
      </w:r>
    </w:p>
    <w:p>
      <w:pPr>
        <w:pStyle w:val="Compact"/>
        <w:numPr>
          <w:ilvl w:val="0"/>
          <w:numId w:val="296"/>
        </w:numPr>
        <w:rPr/>
      </w:pPr>
      <w:r>
        <w:rPr>
          <w:b/>
          <w:bCs/>
        </w:rPr>
        <w:t>Entre revisões:</w:t>
      </w:r>
      <w:r>
        <w:rPr/>
        <w:t xml:space="preserve"> atualização pelo IPCA (nota 4, p. 59; nota 34, p. 110/78).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85"/>
        <w:gridCol w:w="4986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 de risco inerente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Incerteza de estimativa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Alta. Depende da base homologada (não divulgada) e do prazo da concessão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Complexidade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Alta. Metodologia regulatória e cadastro de milhões de itens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Subjetividade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Moderada. Unitização, baixas e classificação entre ativo financeiro, ativo contratual e intangível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Conclusão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significativo (R01), coerente com o PAA 3 da PwC (DF25 p. 29)</w:t>
            </w:r>
          </w:p>
        </w:tc>
      </w:tr>
    </w:tbl>
    <w:p>
      <w:pPr>
        <w:pStyle w:val="BodyText"/>
        <w:rPr/>
      </w:pPr>
      <w:r>
        <w:rPr>
          <w:b/>
          <w:bCs/>
        </w:rPr>
        <w:t>2. Premissas, dados e método (itens 23–25)</w:t>
      </w:r>
    </w:p>
    <w:p>
      <w:pPr>
        <w:pStyle w:val="Compact"/>
        <w:numPr>
          <w:ilvl w:val="0"/>
          <w:numId w:val="297"/>
        </w:numPr>
        <w:rPr/>
      </w:pPr>
      <w:r>
        <w:rPr>
          <w:b/>
          <w:bCs/>
        </w:rPr>
        <w:t>IPCA:</w:t>
      </w:r>
      <w:r>
        <w:rPr/>
        <w:t xml:space="preserve"> a taxa de 4,26% de 2025 coincide com o IPCA oficial do IBGE e com a “taxa no período” da nota 34 e.2 (p. 111/79). Premissa observável, testada.</w:t>
      </w:r>
    </w:p>
    <w:p>
      <w:pPr>
        <w:pStyle w:val="Compact"/>
        <w:numPr>
          <w:ilvl w:val="0"/>
          <w:numId w:val="298"/>
        </w:numPr>
        <w:rPr/>
      </w:pPr>
      <w:r>
        <w:rPr>
          <w:b/>
          <w:bCs/>
        </w:rPr>
        <w:t>Base homologada (VNR/BRR) e cadastro:</w:t>
      </w:r>
      <w:r>
        <w:rPr/>
        <w:t xml:space="preserve"> não divulgados. </w:t>
      </w:r>
      <w:r>
        <w:rPr>
          <w:b/>
          <w:bCs/>
        </w:rPr>
        <w:t>Não testáveis</w:t>
      </w:r>
      <w:r>
        <w:rPr/>
        <w:t xml:space="preserve"> com evidência pública (540-05, planejado). O PT 530 demonstra, em ambiente simulado, os testes que seriam feitos no cadastro.</w:t>
      </w:r>
    </w:p>
    <w:p>
      <w:pPr>
        <w:pStyle w:val="Compact"/>
        <w:numPr>
          <w:ilvl w:val="0"/>
          <w:numId w:val="299"/>
        </w:numPr>
        <w:rPr/>
      </w:pPr>
      <w:r>
        <w:rPr>
          <w:b/>
          <w:bCs/>
        </w:rPr>
        <w:t>Método:</w:t>
      </w:r>
      <w:r>
        <w:rPr/>
        <w:t xml:space="preserve"> coerente com a regulação descrita, e igual ao de 2024 (DF24 e DF25).</w:t>
      </w:r>
    </w:p>
    <w:p>
      <w:pPr>
        <w:pStyle w:val="FirstParagraph"/>
        <w:rPr/>
      </w:pPr>
      <w:r>
        <w:rPr>
          <w:b/>
          <w:bCs/>
        </w:rPr>
        <w:t>3. Revisão retrospectiva (item 14)</w:t>
      </w:r>
    </w:p>
    <w:p>
      <w:pPr>
        <w:pStyle w:val="BodyText"/>
        <w:rPr/>
      </w:pPr>
      <w:r>
        <w:rPr/>
        <w:t>O modelo de IPCA reproduz o ajuste de 2024 (diferença de −0,4%), mas não o de 2025 (+12,2%, ou +R$ 139.479 mil). A diferença se concentra na CPFL Paulista, que em 2025 teve apenas reajuste anual (PT 520).</w:t>
      </w:r>
    </w:p>
    <w:p>
      <w:pPr>
        <w:pStyle w:val="BodyText"/>
        <w:rPr/>
      </w:pPr>
      <w:r>
        <w:rPr>
          <w:b/>
          <w:bCs/>
        </w:rPr>
        <w:t>4. Sensibilidade (aproximação didática, não recálculo do modelo da administração)</w:t>
      </w:r>
    </w:p>
    <w:tbl>
      <w:tblPr>
        <w:tblStyle w:val="Table"/>
        <w:tblW w:w="79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Cenário</w:t>
            </w:r>
          </w:p>
        </w:tc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(R$ mil)</w:t>
            </w:r>
          </w:p>
        </w:tc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% da materialidade global</w:t>
            </w:r>
          </w:p>
        </w:tc>
      </w:tr>
      <w:tr>
        <w:trPr/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IPCA ±0,5 p.p.</w:t>
            </w:r>
          </w:p>
        </w:tc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±134.471</w:t>
            </w:r>
          </w:p>
        </w:tc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±33%</w:t>
            </w:r>
          </w:p>
        </w:tc>
      </w:tr>
      <w:tr>
        <w:trPr/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IPCA ±1,0 p.p.</w:t>
            </w:r>
          </w:p>
        </w:tc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±268.942</w:t>
            </w:r>
          </w:p>
        </w:tc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±66%</w:t>
            </w:r>
          </w:p>
        </w:tc>
      </w:tr>
      <w:tr>
        <w:trPr/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homologada ±2%</w:t>
            </w:r>
          </w:p>
        </w:tc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±592.472</w:t>
            </w:r>
          </w:p>
        </w:tc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±146%</w:t>
            </w:r>
          </w:p>
        </w:tc>
      </w:tr>
      <w:tr>
        <w:trPr/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homologada ±5%</w:t>
            </w:r>
          </w:p>
        </w:tc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±1.481.181</w:t>
            </w:r>
          </w:p>
        </w:tc>
        <w:tc>
          <w:tcPr>
            <w:tcW w:w="2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±366%</w:t>
            </w:r>
          </w:p>
        </w:tc>
      </w:tr>
    </w:tbl>
    <w:p>
      <w:pPr>
        <w:pStyle w:val="BodyText"/>
        <w:rPr/>
      </w:pPr>
      <w:r>
        <w:rPr/>
        <w:t>A base de cálculo é o saldo inicial mais metade das transferências (26.894.226) para o IPCA, e o saldo final (29.623.619) para a base homologada.</w:t>
      </w:r>
    </w:p>
    <w:p>
      <w:pPr>
        <w:pStyle w:val="BodyText"/>
        <w:rPr/>
      </w:pPr>
      <w:r>
        <w:rPr/>
        <w:t xml:space="preserve">A </w:t>
      </w:r>
      <w:r>
        <w:rPr>
          <w:b/>
          <w:bCs/>
        </w:rPr>
        <w:t>sensibilidade divulgada</w:t>
      </w:r>
      <w:r>
        <w:rPr/>
        <w:t xml:space="preserve"> pela companhia (nota 34 e.2, p. 111/79) foi reproduzida com diferença menor que R$ 1 mil. Exposição ativa ao IPCA de 29.653.297 × 9,63% = 2.855.613 no cenário provável; reduções de 25% e 50% do índice.</w:t>
      </w:r>
    </w:p>
    <w:p>
      <w:pPr>
        <w:pStyle w:val="BodyText"/>
        <w:rPr/>
      </w:pPr>
      <w:r>
        <w:rPr>
          <w:b/>
          <w:bCs/>
        </w:rPr>
        <w:t>Leitura:</w:t>
      </w:r>
      <w:r>
        <w:rPr/>
        <w:t xml:space="preserve"> a variação de poucos pontos percentuais na base homologada supera a materialidade global. É a incerteza que justifica o risco significativo, e não um indicativo de erro.</w:t>
      </w:r>
    </w:p>
    <w:p>
      <w:pPr>
        <w:pStyle w:val="BodyText"/>
        <w:rPr/>
      </w:pPr>
      <w:r>
        <w:rPr>
          <w:b/>
          <w:bCs/>
        </w:rPr>
        <w:t>5. Estimativa do auditor (item 28)</w:t>
      </w:r>
    </w:p>
    <w:p>
      <w:pPr>
        <w:pStyle w:val="BodyText"/>
        <w:rPr/>
      </w:pPr>
      <w:r>
        <w:rPr>
          <w:b/>
          <w:bCs/>
        </w:rPr>
        <w:t>Não foi desenvolvida</w:t>
      </w:r>
      <w:r>
        <w:rPr/>
        <w:t xml:space="preserve"> estimativa pontual nem intervalo. Faltam os dados indispensáveis: a base homologada por distribuidora e a data-base de cada laudo. A expectativa do PT 520 serve como analítico, </w:t>
      </w:r>
      <w:r>
        <w:rPr>
          <w:b/>
          <w:bCs/>
        </w:rPr>
        <w:t>não</w:t>
      </w:r>
      <w:r>
        <w:rPr/>
        <w:t xml:space="preserve"> como recálculo exato.</w:t>
      </w:r>
    </w:p>
    <w:p>
      <w:pPr>
        <w:pStyle w:val="BodyText"/>
        <w:rPr/>
      </w:pPr>
      <w:r>
        <w:rPr>
          <w:b/>
          <w:bCs/>
        </w:rPr>
        <w:t>6. Indicadores de viés (item 32)</w:t>
      </w:r>
    </w:p>
    <w:p>
      <w:pPr>
        <w:pStyle w:val="Compact"/>
        <w:numPr>
          <w:ilvl w:val="0"/>
          <w:numId w:val="300"/>
        </w:numPr>
        <w:rPr/>
      </w:pPr>
      <w:r>
        <w:rPr>
          <w:b/>
          <w:bCs/>
        </w:rPr>
        <w:t>Indicador:</w:t>
      </w:r>
      <w:r>
        <w:rPr/>
        <w:t xml:space="preserve"> a diferença de 2025 aumenta o ativo e a receita na mesma direção (+12,2% sobre o modelo), sem explicação documentada.</w:t>
      </w:r>
    </w:p>
    <w:p>
      <w:pPr>
        <w:pStyle w:val="Compact"/>
        <w:numPr>
          <w:ilvl w:val="0"/>
          <w:numId w:val="301"/>
        </w:numPr>
        <w:rPr/>
      </w:pPr>
      <w:r>
        <w:rPr>
          <w:b/>
          <w:bCs/>
        </w:rPr>
        <w:t>Contraindicadores:</w:t>
      </w:r>
    </w:p>
    <w:p>
      <w:pPr>
        <w:pStyle w:val="Compact"/>
        <w:numPr>
          <w:ilvl w:val="1"/>
          <w:numId w:val="302"/>
        </w:numPr>
        <w:rPr/>
      </w:pPr>
      <w:r>
        <w:rPr/>
        <w:t>aderência em 2024;</w:t>
      </w:r>
    </w:p>
    <w:p>
      <w:pPr>
        <w:pStyle w:val="Compact"/>
        <w:numPr>
          <w:ilvl w:val="1"/>
          <w:numId w:val="303"/>
        </w:numPr>
        <w:rPr/>
      </w:pPr>
      <w:r>
        <w:rPr/>
        <w:t>RGE e Santa Cruz abaixo da expectativa em 2025;</w:t>
      </w:r>
    </w:p>
    <w:p>
      <w:pPr>
        <w:pStyle w:val="Compact"/>
        <w:numPr>
          <w:ilvl w:val="1"/>
          <w:numId w:val="304"/>
        </w:numPr>
        <w:rPr/>
      </w:pPr>
      <w:r>
        <w:rPr/>
        <w:t>mesma metodologia nos dois anos.</w:t>
      </w:r>
    </w:p>
    <w:p>
      <w:pPr>
        <w:pStyle w:val="Compact"/>
        <w:numPr>
          <w:ilvl w:val="0"/>
          <w:numId w:val="305"/>
        </w:numPr>
        <w:rPr/>
      </w:pPr>
      <w:r>
        <w:rPr>
          <w:b/>
          <w:bCs/>
        </w:rPr>
        <w:t>Conclusão:</w:t>
      </w:r>
      <w:r>
        <w:rPr/>
        <w:t xml:space="preserve"> é um indicador isolado, </w:t>
      </w:r>
      <w:r>
        <w:rPr>
          <w:b/>
          <w:bCs/>
        </w:rPr>
        <w:t>não conclusivo</w:t>
      </w:r>
      <w:r>
        <w:rPr/>
        <w:t>. Será considerado com o PT 240 (R16) e com as representações (PT 580, item 37).</w:t>
      </w:r>
    </w:p>
    <w:p>
      <w:pPr>
        <w:pStyle w:val="FirstParagraph"/>
        <w:rPr/>
      </w:pPr>
      <w:r>
        <w:rPr>
          <w:b/>
          <w:bCs/>
        </w:rPr>
        <w:t>7. Renovação das concessões: incerteza, divulgação e evento posterior</w:t>
      </w:r>
    </w:p>
    <w:p>
      <w:pPr>
        <w:pStyle w:val="Compact"/>
        <w:numPr>
          <w:ilvl w:val="0"/>
          <w:numId w:val="306"/>
        </w:numPr>
        <w:rPr/>
      </w:pPr>
      <w:r>
        <w:rPr>
          <w:b/>
          <w:bCs/>
        </w:rPr>
        <w:t>Em 31/12/2025:</w:t>
      </w:r>
    </w:p>
    <w:p>
      <w:pPr>
        <w:pStyle w:val="Compact"/>
        <w:numPr>
          <w:ilvl w:val="1"/>
          <w:numId w:val="307"/>
        </w:numPr>
        <w:rPr/>
      </w:pPr>
      <w:r>
        <w:rPr/>
        <w:t>a ANEEL havia aprovado os pedidos de prorrogação por 30 anos da RGE (março), da Piratininga (junho) e da Paulista (novembro de 2025);</w:t>
      </w:r>
    </w:p>
    <w:p>
      <w:pPr>
        <w:pStyle w:val="Compact"/>
        <w:numPr>
          <w:ilvl w:val="1"/>
          <w:numId w:val="308"/>
        </w:numPr>
        <w:rPr/>
      </w:pPr>
      <w:r>
        <w:rPr/>
        <w:t>a decisão final cabia ao MME (DF25 nota 1.3, p. 44/12);</w:t>
      </w:r>
    </w:p>
    <w:p>
      <w:pPr>
        <w:pStyle w:val="Compact"/>
        <w:numPr>
          <w:ilvl w:val="1"/>
          <w:numId w:val="309"/>
        </w:numPr>
        <w:rPr/>
      </w:pPr>
      <w:r>
        <w:rPr/>
        <w:t>os contratos vigentes previam indenização ao fim do prazo (2027/2028), base da classificação como ativo financeiro.</w:t>
      </w:r>
    </w:p>
    <w:p>
      <w:pPr>
        <w:pStyle w:val="Compact"/>
        <w:numPr>
          <w:ilvl w:val="0"/>
          <w:numId w:val="310"/>
        </w:numPr>
        <w:rPr/>
      </w:pPr>
      <w:r>
        <w:rPr>
          <w:b/>
          <w:bCs/>
        </w:rPr>
        <w:t>Depois da emissão das DF (04/03/2026):</w:t>
      </w:r>
    </w:p>
    <w:p>
      <w:pPr>
        <w:pStyle w:val="Compact"/>
        <w:numPr>
          <w:ilvl w:val="1"/>
          <w:numId w:val="311"/>
        </w:numPr>
        <w:rPr/>
      </w:pPr>
      <w:r>
        <w:rPr/>
        <w:t>despacho do MME no DOU de 06/04/2026;</w:t>
      </w:r>
    </w:p>
    <w:p>
      <w:pPr>
        <w:pStyle w:val="Compact"/>
        <w:numPr>
          <w:ilvl w:val="1"/>
          <w:numId w:val="312"/>
        </w:numPr>
        <w:rPr/>
      </w:pPr>
      <w:r>
        <w:rPr/>
        <w:t>assinatura dos aditivos em 06/05/2026 (ITR 2T26 nota 1.2, p. 43/9; Fato Relevante de 08/05/2026);</w:t>
      </w:r>
    </w:p>
    <w:p>
      <w:pPr>
        <w:pStyle w:val="Compact"/>
        <w:numPr>
          <w:ilvl w:val="1"/>
          <w:numId w:val="313"/>
        </w:numPr>
        <w:rPr/>
      </w:pPr>
      <w:r>
        <w:rPr/>
        <w:t xml:space="preserve">reclassificação prospectiva de </w:t>
      </w:r>
      <w:r>
        <w:rPr>
          <w:b/>
          <w:bCs/>
        </w:rPr>
        <w:t>R$ 29.599.494 mil</w:t>
      </w:r>
      <w:r>
        <w:rPr/>
        <w:t xml:space="preserve"> do ativo financeiro da concessão para o intangível: Paulista 12.737.816; Piratininga 3.686.631; RGE 13.175.047 (ITR 2T26 nota 11, p. 49/15). Isso equivale a 99,9% do saldo de 31/12/2025.</w:t>
      </w:r>
    </w:p>
    <w:p>
      <w:pPr>
        <w:pStyle w:val="Compact"/>
        <w:numPr>
          <w:ilvl w:val="0"/>
          <w:numId w:val="314"/>
        </w:numPr>
        <w:rPr/>
      </w:pPr>
      <w:r>
        <w:rPr>
          <w:b/>
          <w:bCs/>
        </w:rPr>
        <w:t>Avaliação (itens 26 e 36):</w:t>
      </w:r>
    </w:p>
    <w:p>
      <w:pPr>
        <w:pStyle w:val="Compact"/>
        <w:numPr>
          <w:ilvl w:val="1"/>
          <w:numId w:val="315"/>
        </w:numPr>
        <w:rPr/>
      </w:pPr>
      <w:r>
        <w:rPr/>
        <w:t xml:space="preserve">A companhia tratou a assinatura como </w:t>
      </w:r>
      <w:r>
        <w:rPr>
          <w:b/>
          <w:bCs/>
        </w:rPr>
        <w:t>novo evento contratual</w:t>
      </w:r>
      <w:r>
        <w:rPr/>
        <w:t>, com efeito prospectivo em 2026. Isso é coerente com o fato de os aditivos não estarem assinados em 31/12/2025. A classificação em 2025 não parece afetada.</w:t>
      </w:r>
    </w:p>
    <w:p>
      <w:pPr>
        <w:pStyle w:val="Compact"/>
        <w:numPr>
          <w:ilvl w:val="1"/>
          <w:numId w:val="316"/>
        </w:numPr>
        <w:rPr/>
      </w:pPr>
      <w:r>
        <w:rPr/>
        <w:t xml:space="preserve">A </w:t>
      </w:r>
      <w:r>
        <w:rPr>
          <w:b/>
          <w:bCs/>
        </w:rPr>
        <w:t>divulgação</w:t>
      </w:r>
      <w:r>
        <w:rPr/>
        <w:t xml:space="preserve"> da nota 1.3 informa o andamento, mas </w:t>
      </w:r>
      <w:r>
        <w:rPr>
          <w:b/>
          <w:bCs/>
        </w:rPr>
        <w:t>não quantifica</w:t>
      </w:r>
      <w:r>
        <w:rPr/>
        <w:t xml:space="preserve"> o efeito possível na classificação nem a incerteza sobre o prazo da indenização.</w:t>
      </w:r>
    </w:p>
    <w:p>
      <w:pPr>
        <w:pStyle w:val="Compact"/>
        <w:numPr>
          <w:ilvl w:val="1"/>
          <w:numId w:val="317"/>
        </w:numPr>
        <w:rPr/>
      </w:pPr>
      <w:r>
        <w:rPr/>
        <w:t>Em auditoria real, discutir com a administração e a governança se a divulgação da incerteza de estimativa é suficiente (item 36; PT 260). Momento do fato: PT 560 (Bloco 10).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29, 44, 47, 59, 68, 101, 110–111; DF24 nota 1.3 p. 45/13; DFs individuais (notas 11); ITR 2T26 p. 43 e 49; Fato Relevante de 08/05/2026; IBGE (IPCA); CPFL_B09_Abertura_Analiticos_Estimativas_PartesRel.xlsx (PT540_Sensibilidade, PT520_Substantivo_VNR). Referências cruzadas: PT 240 (R16), PT 315 (R01, R18), PT 520, PT 530, PT 560, PT 580.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Premissa de IPCA confirmada. Base homologada não testável. Retrospectiva de 2024 aderente e de 2025 com desvio não explicado de +12,2% (Paulista). Sensibilidade: ±1 p.p. de IPCA = ±66% da materialidade global; ±2% na base homologada = ±146%. Sensibilidade divulgada reproduzida. Renovação: reclassificação de 99,9% do saldo em 2026, como evento novo. Divulgação de 2025 sem quantificação do efeito possível.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 evidência pública, a estimativa é coerente na premissa observável (IPCA) e no método. A razoabilidade do saldo não pode ser concluída sem a base homologada e a explicação do desvio da Paulista (procedimentos planejados). O ponto de divulgação sobre a renovação deve ser levado à governança. Não é opinião sobre a CPFL.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acesso ao modelo, à base de remuneração, aos laudos e à administração. Cenários são aproximações identificadas como tais. A taxa do ‘cenário provável’ de IPCA (9,63%) é da companhia e não foi conferida em fonte externa.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Entender a estimativa, avaliar riscos e responder a método, premissas e dados; revisão retrospectiva (itens 13–32).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Exemplos de incerteza de estimativa e de indicadores de viés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Não desenvolver estimativa pontual do auditor sem base homologada (D-B09-02).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50" w:name="__RefHeading___Toc31531_1660191972"/>
      <w:bookmarkEnd w:id="50"/>
      <w:r>
        <w:rPr/>
        <w:t>PT 550 — Partes relacionadas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550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Partes relacionadas. NBC TA 550 (Res. CFC 1.224/2009; NORMAS p. 600–624). Itens: 11–14 (entendimento: discussão da equipe, indagações, controles; p. 606), 15–17 (alerta para relações e transações não divulgadas; p. 607), 18–19 (riscos; fatores de fraude), 20–22 (respostas; relações não identificadas antes; p. 608), 23 (transações significativas fora do curso normal), 24 (afirmação de condições equivalentes às de mercado; p. 609), 25–26 (avaliação), 27 (comunicação), 28 (documentação; p. 610).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Mapear partes relacionadas, vínculos, saldos, transações e divulgações; identificar a origem de cada dado; avaliar transações significativas; e planejar a busca de relações ou operações não divulgadas.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Mútuos com partes relacionadas (PC 19.416 + PNC 4.393.234 = 4.412.650; BP p. 35/3); debêntures detidas pelo controlador; compras de energia; remuneração do pessoal-chave (nota 31, p. 103–104/71–72).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 (relações e transações não identificadas), apresentação e divulgação, ocorrência. Risco R13 (moderado); fatores de fraude ligados ao controlador (PT 240).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nota 31 (p. 103–104/71–72), nota 1, BP p. 35; Política de Partes Relacionadas (CA de 16/12/2021, Drive pasta 03); Estatuto Social (art. 17, alínea n, citado pela Política; não lido neste bloco); CPFL_B09_Abertura_Analiticos_Estimativas_PartesRel.xlsx, aba PT550_PartesRel.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550-01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Mapear partes relacionadas e vínculos divulgados (controladores, controle comum, controle conjunto, entidades sem fins lucrativos, planos de previdência, pessoal-chave)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550-02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Transcrever saldos e transações por natureza (2025 e 2024) e conciliar os mútuos com o BP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550-03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transações significativas: mútuo com a SGEL (4.412.650), liquidação antecipada dos mútuos com a SGBP e debêntures detidas pela SGBP (item 23)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(parcial)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550-04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Ler a política e o fluxo de aprovação (Comitê de Partes Relacionadas; Conselho de Administração para montante significativo)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550-05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Busca de completude: atas do CA e do Comitê, FR seção de partes relacionadas (truncada no Drive), comunicados de transações com partes relacionadas na CVM, contratos de mútuo, cadastro de fornecedores × lista de partes relacionadas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550-06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Indagar a administração e a governança e obter representações (itens 13 e 26; PT 580)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Partes relacionadas identificadas e origem do dado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Parte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Vínculo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Origem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State Grid Corporation of China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Controladora final (estatal chinesa)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31, p. 103/71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State Grid Brazil Power Participações S.A. (SGBP)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Acionista controlador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31, p. 103/71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ESC Energia S.A.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Acionista controlador, controlada pela SGBP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31, p. 103/71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State Grid Europe Limited (SGEL)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Entidade sob controle comum; credora dos mútuos de 2025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31 c), p. 104/72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Empreendimentos controlados em conjunto (BAESA, Chapecoense e outros)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Controle conjunto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31 tabela; nota 13 (PT 600)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Instituto CPFL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Entidade ligada ao grupo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31 tabela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Vivest e Família Previdência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Planos de benefício pós-emprego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31 (remissão à nota 20)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Pessoal-chave da administração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Remuneração de 80.523 (80.597 em 2024)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31, p. 104/72</w:t>
            </w:r>
          </w:p>
        </w:tc>
      </w:tr>
    </w:tbl>
    <w:p>
      <w:pPr>
        <w:pStyle w:val="BodyText"/>
        <w:rPr/>
      </w:pPr>
      <w:r>
        <w:rPr>
          <w:b/>
          <w:bCs/>
        </w:rPr>
        <w:t>A lista divulgada não comprova completude</w:t>
      </w:r>
      <w:r>
        <w:rPr/>
        <w:t xml:space="preserve"> (item 15). Ela é o ponto de partida da busca planejada (550-05).</w:t>
      </w:r>
    </w:p>
    <w:p>
      <w:pPr>
        <w:pStyle w:val="BodyText"/>
        <w:rPr/>
      </w:pPr>
      <w:r>
        <w:rPr>
          <w:b/>
          <w:bCs/>
        </w:rPr>
        <w:t>2. Saldos e transações (R$ mil, consolidado)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74"/>
        <w:gridCol w:w="2099"/>
        <w:gridCol w:w="2099"/>
        <w:gridCol w:w="2100"/>
        <w:gridCol w:w="2100"/>
      </w:tblGrid>
      <w:tr>
        <w:trPr>
          <w:tblHeader w:val="true"/>
        </w:trPr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Natureza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Passivo 2025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Passivo 2024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Despesa 2025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Despesa 2024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Mútuo — SGEL (controle comum)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4.412.650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(41.667)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Mútuo — SGBP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2.485.694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(368.077)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(311.573)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Outras operações financeiras — SGBP (debêntures da Paulista)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325.563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1.507.938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(97.450)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(177.955)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Energia — controle comum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(424.459)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(410.890)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Energia — controlados em conjunto e outros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76.888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104.378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(897.183)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(965.058)</w:t>
            </w:r>
          </w:p>
        </w:tc>
      </w:tr>
    </w:tbl>
    <w:p>
      <w:pPr>
        <w:pStyle w:val="BodyText"/>
        <w:rPr/>
      </w:pPr>
      <w:r>
        <w:rPr/>
        <w:t>O mútuo total da nota 31 (4.412.650) concilia com o BP (PC 19.416 + PNC 4.393.234), com diferença zero, e cresceu 77,5% sobre 2024. As despesas totais com partes relacionadas são de cerca de R$ 1,86 bilhão (aba PT550).</w:t>
      </w:r>
    </w:p>
    <w:p>
      <w:pPr>
        <w:pStyle w:val="BodyText"/>
        <w:rPr/>
      </w:pPr>
      <w:r>
        <w:rPr>
          <w:b/>
          <w:bCs/>
        </w:rPr>
        <w:t>3. Transações significativas (item 23)</w:t>
      </w:r>
    </w:p>
    <w:p>
      <w:pPr>
        <w:pStyle w:val="Compact"/>
        <w:numPr>
          <w:ilvl w:val="0"/>
          <w:numId w:val="318"/>
        </w:numPr>
        <w:rPr/>
      </w:pPr>
      <w:r>
        <w:rPr>
          <w:b/>
          <w:bCs/>
        </w:rPr>
        <w:t>Mútuo com a SGEL:</w:t>
      </w:r>
    </w:p>
    <w:p>
      <w:pPr>
        <w:pStyle w:val="Compact"/>
        <w:numPr>
          <w:ilvl w:val="1"/>
          <w:numId w:val="319"/>
        </w:numPr>
        <w:rPr/>
      </w:pPr>
      <w:r>
        <w:rPr>
          <w:b/>
          <w:bCs/>
        </w:rPr>
        <w:t>Contraparte e termos:</w:t>
      </w:r>
      <w:r>
        <w:rPr/>
        <w:t xml:space="preserve"> contratos das controladas Paulista, Piratininga, RGE, Santa Cruz e CPFL Brasil com a SGEL; vencimento em setembro de 2028; juros semestrais a partir de março de 2026; remuneração em renminbi + 1,98%, com derivativos para CDI − 0,365%.</w:t>
      </w:r>
    </w:p>
    <w:p>
      <w:pPr>
        <w:pStyle w:val="Compact"/>
        <w:numPr>
          <w:ilvl w:val="1"/>
          <w:numId w:val="320"/>
        </w:numPr>
        <w:rPr/>
      </w:pPr>
      <w:r>
        <w:rPr>
          <w:b/>
          <w:bCs/>
        </w:rPr>
        <w:t>Contexto:</w:t>
      </w:r>
      <w:r>
        <w:rPr/>
        <w:t xml:space="preserve"> substituiu os mútuos com a SGBP (CDI + 1,1%), liquidados antecipadamente em dezembro de 2025 (nota 31 c, p. 104/72).</w:t>
      </w:r>
    </w:p>
    <w:p>
      <w:pPr>
        <w:pStyle w:val="Compact"/>
        <w:numPr>
          <w:ilvl w:val="1"/>
          <w:numId w:val="321"/>
        </w:numPr>
        <w:rPr/>
      </w:pPr>
      <w:r>
        <w:rPr>
          <w:b/>
          <w:bCs/>
        </w:rPr>
        <w:t>Exposição cambial em renminbi:</w:t>
      </w:r>
      <w:r>
        <w:rPr/>
        <w:t xml:space="preserve"> 4.958.307 (nota 34 e.1, p. 111/79), protegida por swap.</w:t>
      </w:r>
    </w:p>
    <w:p>
      <w:pPr>
        <w:pStyle w:val="Compact"/>
        <w:numPr>
          <w:ilvl w:val="0"/>
          <w:numId w:val="322"/>
        </w:numPr>
        <w:rPr/>
      </w:pPr>
      <w:r>
        <w:rPr>
          <w:b/>
          <w:bCs/>
        </w:rPr>
        <w:t>Debêntures da Paulista detidas pela SGBP:</w:t>
      </w:r>
      <w:r>
        <w:rPr/>
        <w:t xml:space="preserve"> CDI + 0,59%, vencimento a partir de fevereiro de 2029 (nota 31 d). O saldo caiu de 1.507.938 para 325.563.</w:t>
      </w:r>
    </w:p>
    <w:p>
      <w:pPr>
        <w:pStyle w:val="Compact"/>
        <w:numPr>
          <w:ilvl w:val="0"/>
          <w:numId w:val="323"/>
        </w:numPr>
        <w:rPr/>
      </w:pPr>
      <w:r>
        <w:rPr>
          <w:b/>
          <w:bCs/>
        </w:rPr>
        <w:t>Avaliação:</w:t>
      </w:r>
      <w:r>
        <w:rPr/>
        <w:t xml:space="preserve"> a companhia afirma condições “semelhantes às de mercado” para o mercado livre de energia (nota 31 a). Para os mútuos e as debêntures, a </w:t>
      </w:r>
      <w:r>
        <w:rPr>
          <w:b/>
          <w:bCs/>
        </w:rPr>
        <w:t>comparação com taxas de mercado</w:t>
      </w:r>
      <w:r>
        <w:rPr/>
        <w:t xml:space="preserve"> (item 24), a </w:t>
      </w:r>
      <w:r>
        <w:rPr>
          <w:b/>
          <w:bCs/>
        </w:rPr>
        <w:t>razão negocial</w:t>
      </w:r>
      <w:r>
        <w:rPr/>
        <w:t xml:space="preserve"> e a </w:t>
      </w:r>
      <w:r>
        <w:rPr>
          <w:b/>
          <w:bCs/>
        </w:rPr>
        <w:t>aprovação</w:t>
      </w:r>
      <w:r>
        <w:rPr/>
        <w:t xml:space="preserve"> pela política ficam planejadas (550-05/06). O custo efetivo em CDI do mútuo com a SGEL (CDI − 0,365%) é inferior ao do mútuo anterior (CDI + 1,1%). É uma indicação de condição favorável, não verificada.</w:t>
      </w:r>
    </w:p>
    <w:p>
      <w:pPr>
        <w:pStyle w:val="FirstParagraph"/>
        <w:rPr/>
      </w:pPr>
      <w:r>
        <w:rPr>
          <w:b/>
          <w:bCs/>
        </w:rPr>
        <w:t>4. Governança e política</w:t>
      </w:r>
    </w:p>
    <w:p>
      <w:pPr>
        <w:pStyle w:val="Compact"/>
        <w:numPr>
          <w:ilvl w:val="0"/>
          <w:numId w:val="324"/>
        </w:numPr>
        <w:rPr/>
      </w:pPr>
      <w:r>
        <w:rPr/>
        <w:t>A Política de Partes Relacionadas (aprovada pelo CA em 16/12/2021) estabelece:</w:t>
      </w:r>
    </w:p>
    <w:p>
      <w:pPr>
        <w:pStyle w:val="Compact"/>
        <w:numPr>
          <w:ilvl w:val="1"/>
          <w:numId w:val="325"/>
        </w:numPr>
        <w:rPr/>
      </w:pPr>
      <w:r>
        <w:rPr/>
        <w:t>transações em condições de mercado (cap. V);</w:t>
      </w:r>
    </w:p>
    <w:p>
      <w:pPr>
        <w:pStyle w:val="Compact"/>
        <w:numPr>
          <w:ilvl w:val="1"/>
          <w:numId w:val="326"/>
        </w:numPr>
        <w:rPr/>
      </w:pPr>
      <w:r>
        <w:rPr/>
        <w:t>lista de partes relacionadas mantida pela Diretoria de Governança Corporativa (V.3);</w:t>
      </w:r>
    </w:p>
    <w:p>
      <w:pPr>
        <w:pStyle w:val="Compact"/>
        <w:numPr>
          <w:ilvl w:val="1"/>
          <w:numId w:val="327"/>
        </w:numPr>
        <w:rPr/>
      </w:pPr>
      <w:r>
        <w:rPr/>
        <w:t>aprovação de transações de “montante significativo” pelo Conselho, com manifestação prévia do Comitê de Partes Relacionadas (V.4);</w:t>
      </w:r>
    </w:p>
    <w:p>
      <w:pPr>
        <w:pStyle w:val="Compact"/>
        <w:numPr>
          <w:ilvl w:val="1"/>
          <w:numId w:val="328"/>
        </w:numPr>
        <w:rPr/>
      </w:pPr>
      <w:r>
        <w:rPr/>
        <w:t>divulgação no Formulário de Referência e por comunicado ao mercado (cap. VIII).</w:t>
      </w:r>
    </w:p>
    <w:p>
      <w:pPr>
        <w:pStyle w:val="Compact"/>
        <w:numPr>
          <w:ilvl w:val="0"/>
          <w:numId w:val="329"/>
        </w:numPr>
        <w:rPr/>
      </w:pPr>
      <w:r>
        <w:rPr/>
        <w:t>A nota 31 confirma o comitê: dois independentes e um executivo (p. 104/72).</w:t>
      </w:r>
    </w:p>
    <w:p>
      <w:pPr>
        <w:pStyle w:val="Compact"/>
        <w:numPr>
          <w:ilvl w:val="0"/>
          <w:numId w:val="330"/>
        </w:numPr>
        <w:rPr/>
      </w:pPr>
      <w:r>
        <w:rPr>
          <w:b/>
          <w:bCs/>
        </w:rPr>
        <w:t>Controle relevante para o auditor:</w:t>
      </w:r>
      <w:r>
        <w:rPr/>
        <w:t xml:space="preserve"> a existência e a atualização da lista e as atas que aprovaram o mútuo com a SGEL. Não verificados (550-05).</w:t>
      </w:r>
    </w:p>
    <w:p>
      <w:pPr>
        <w:pStyle w:val="FirstParagraph"/>
        <w:rPr/>
      </w:pPr>
      <w:r>
        <w:rPr>
          <w:b/>
          <w:bCs/>
        </w:rPr>
        <w:t>5. Busca de relações não divulgadas (item 15): plano</w:t>
      </w:r>
    </w:p>
    <w:p>
      <w:pPr>
        <w:pStyle w:val="Compact"/>
        <w:numPr>
          <w:ilvl w:val="0"/>
          <w:numId w:val="331"/>
        </w:numPr>
        <w:rPr/>
      </w:pPr>
      <w:r>
        <w:rPr/>
        <w:t>Atas do Conselho, do Comitê de Partes Relacionadas e do Comitê de Auditoria de 2025 e 2026.</w:t>
      </w:r>
    </w:p>
    <w:p>
      <w:pPr>
        <w:pStyle w:val="Compact"/>
        <w:numPr>
          <w:ilvl w:val="0"/>
          <w:numId w:val="332"/>
        </w:numPr>
        <w:rPr/>
      </w:pPr>
      <w:r>
        <w:rPr/>
        <w:t>Formulário de Referência íntegro, seção de partes relacionadas (o arquivo do Drive está truncado; PB02-03).</w:t>
      </w:r>
    </w:p>
    <w:p>
      <w:pPr>
        <w:pStyle w:val="Compact"/>
        <w:numPr>
          <w:ilvl w:val="0"/>
          <w:numId w:val="333"/>
        </w:numPr>
        <w:rPr/>
      </w:pPr>
      <w:r>
        <w:rPr/>
        <w:t>Comunicados de transações com partes relacionadas na CVM.</w:t>
      </w:r>
    </w:p>
    <w:p>
      <w:pPr>
        <w:pStyle w:val="Compact"/>
        <w:numPr>
          <w:ilvl w:val="0"/>
          <w:numId w:val="334"/>
        </w:numPr>
        <w:rPr/>
      </w:pPr>
      <w:r>
        <w:rPr/>
        <w:t>Contratos de mútuo e de debêntures.</w:t>
      </w:r>
    </w:p>
    <w:p>
      <w:pPr>
        <w:pStyle w:val="Compact"/>
        <w:numPr>
          <w:ilvl w:val="0"/>
          <w:numId w:val="335"/>
        </w:numPr>
        <w:rPr/>
      </w:pPr>
      <w:r>
        <w:rPr/>
        <w:t>Cruzamento do cadastro de fornecedores e clientes com a lista de partes relacionadas.</w:t>
      </w:r>
    </w:p>
    <w:p>
      <w:pPr>
        <w:pStyle w:val="Compact"/>
        <w:numPr>
          <w:ilvl w:val="0"/>
          <w:numId w:val="336"/>
        </w:numPr>
        <w:rPr/>
      </w:pPr>
      <w:r>
        <w:rPr/>
        <w:t>Confirmação externa dos saldos com a SGEL e a SGBP (PT 505, modelo não enviado).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nota 31 (p. 103–104), BP p. 35, nota 34 e.1 (p. 111); Política de Partes Relacionadas (Drive pasta 03); CPFL_B09_Abertura_Analiticos_Estimativas_PartesRel.xlsx (PT550_PartesRel). Referências cruzadas: PT 240, PT 315 (R13), PT 505, PT 580, PT 600.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Oito categorias de partes relacionadas mapeadas com origem. Mútuo de 4.412.650 conciliado com o BP. Substituição dos mútuos da SGBP pelo mútuo da SGEL e redução das debêntures detidas pela SGBP identificadas como transações significativas. Completude e condições de mercado não verificadas.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 divulgações da nota 31 são internamente consistentes com o BP. A avaliação de completude e das condições dos mútuos com o grupo controlador depende de procedimentos planejados. R13 permanece moderado.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acesso a atas, contratos, lista interna de partes relacionadas e FR íntegro. Sem indagações nem confirmações.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Entender relações e transações com partes relacionadas e responder aos riscos (itens 11–25).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Alertas de partes não identificadas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R13 moderado; completude dependente de acesso.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51" w:name="__RefHeading___Toc31533_1660191972"/>
      <w:bookmarkEnd w:id="51"/>
      <w:r>
        <w:rPr/>
        <w:t>PT 560 — Eventos subsequentes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560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Eventos subsequentes. NBC TA 560 (R1) (NORMAS p. 625–638). Itens: 5 (definições: data das DF, data de aprovação, data do relatório, data de divulgação), 6–7 (procedimentos entre a data das DF e a do relatório; p. 628), 8 (ajuste ou divulgação), 9 (representação formal; p. 629), 10–13 (fatos conhecidos após o relatório e antes da divulgação), 14–17 (fatos conhecidos após a divulgação; p. 630–631). Estrutura contábil: CPC 24 (eventos que originam ajuste × que não originam).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eventos entre 31/12/2025 e a data do relatório (04/03/2026) que exijam ajuste ou divulgação. Separar o que foi conhecido depois, com datas reais, sem tratar informação de 2026 como conhecida em 31/12/2025.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consolidadas de 2025 como um todo; destaque para o ativo financeiro da concessão (renovação), dívidas (captações), litígios (IRRF) e partes relacionadas (mútuos SGEL).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Integridade, avaliação e divulgação. Ligação com R01, R07, R13, R17 e R18.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notas 2.1 (p. 45), 22 (p. 96), 37 (p. 113–114) e relatório (p. 32); ITR 1T26 (p. 42, 55, 58); ITR 2T26 (p. 43–44, 49, 59–60, 65); Fato Relevante de 08/05/2026; Release 4T25; RI CPFL (lista de comunicados de 2026) e notícias, consultados em 23/10/2026; CPFL_B10_Litigios_Confirmacoes_Eventos_Continuidade.xlsx, aba PT560_Linha_Tempo.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560-01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Registrar as datas-marco: DF 31/12/2025; autorização 23/02/2026; CA e relatório 04/03/2026; publicação 20/03/2026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560-02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Ler a nota 37 e as notas com fatos de 2026 e classificar ajuste × divulgação (itens 6–8)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560-03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Ler os ITRs de 1T26 e 2T26 e os comunicados de 2026 e posicioná-los na janela correta (itens 10–17)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560-04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Pesquisa pública de fatos posteriores ao ITR 2T26 (corte efetivo em 23/10/2026)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560-05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Indagar a administração e a governança, ler as atas pós-31/12 e obter representação formal (itens 7(b)–(c) e 9)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560-06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Verificar o reconhecimento do débito do IRRF Jantus em 31/12/2025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Datas-marco (item 5)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Marco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 das demonstrações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31/12/2025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Autorização da emissão pela administração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23/02/2026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2.1, p. 45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Aprovação pelo Conselho e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data do relatório do auditor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(PwC, sem modificação)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04/03/2026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2.1, p. 45; relatório, p. 32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Publicação legal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20/03/2026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Publicidade legal (URL na ata metodológica da base)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Corte efetivo da pesquisa deste trabalho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Pesquisa web e RI realizada nesta data</w:t>
            </w:r>
          </w:p>
        </w:tc>
      </w:tr>
    </w:tbl>
    <w:p>
      <w:pPr>
        <w:pStyle w:val="BodyText"/>
        <w:rPr/>
      </w:pPr>
      <w:r>
        <w:rPr>
          <w:b/>
          <w:bCs/>
        </w:rPr>
        <w:t>2. Janela 1 — da data das DF ao relatório (itens 6–9): fatos refletidos na DF25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92"/>
        <w:gridCol w:w="2493"/>
        <w:gridCol w:w="2493"/>
        <w:gridCol w:w="2493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Evento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Classificação (CPC 24)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Tratamento na DF25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IRRF Jantus: decisão definitiva em nov/2025; débito de 139.291; quitado em jan/2026 por 60.950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Condição existente em 31/12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(obrigação presente) → ajuste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Descrito na nota 22 (p. 96/64) e na nota 10 (p. 68)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Verificar se o passivo estava reconhecido (560-06). Se não estiver, distorção abaixo da execução, a acumular no PT 450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Debêntures de jan/2026 (Paulista 1.700.000; Santa Cruz 100.000; Transmissão 100.000)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Condição posterior → divulgação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37.3, p. 114/82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Adequado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Incorporação da CPFL Geração pela CPFL Brasil (AGE de 02/02/2026)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Condição posterior; sem efeito no consolidado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37.1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Adequado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Curtailment (Lei 15.269/2025)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contingente incerto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37.2: nada reconhecido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Adequado em princípio (ganho não praticamente certo)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Renovação: aprovações da ANEEL em 2025; decisão do MME pendente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Incerteza existente em 31/12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1.3, p. 44/12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Divulgado sem quantificação (PT 540)</w:t>
            </w:r>
          </w:p>
        </w:tc>
      </w:tr>
    </w:tbl>
    <w:p>
      <w:pPr>
        <w:pStyle w:val="BodyText"/>
        <w:rPr/>
      </w:pPr>
      <w:r>
        <w:rPr>
          <w:b/>
          <w:bCs/>
        </w:rPr>
        <w:t>3. Janela 2 — após a publicação (itens 14–17): fatos de 2026 que não eram conhecidos em 31/12/2025 nem em 04/03/2026</w:t>
      </w:r>
    </w:p>
    <w:p>
      <w:pPr>
        <w:pStyle w:val="Compact"/>
        <w:numPr>
          <w:ilvl w:val="0"/>
          <w:numId w:val="337"/>
        </w:numPr>
        <w:rPr/>
      </w:pPr>
      <w:r>
        <w:rPr>
          <w:b/>
          <w:bCs/>
        </w:rPr>
        <w:t>06/04/2026:</w:t>
      </w:r>
      <w:r>
        <w:rPr/>
        <w:t xml:space="preserve"> despacho do MME.</w:t>
      </w:r>
    </w:p>
    <w:p>
      <w:pPr>
        <w:pStyle w:val="Compact"/>
        <w:numPr>
          <w:ilvl w:val="0"/>
          <w:numId w:val="338"/>
        </w:numPr>
        <w:rPr/>
      </w:pPr>
      <w:r>
        <w:rPr>
          <w:b/>
          <w:bCs/>
        </w:rPr>
        <w:t>06/05/2026:</w:t>
      </w:r>
      <w:r>
        <w:rPr/>
        <w:t xml:space="preserve"> assinatura dos aditivos e prorrogação por 30 anos (ITR 1T26 nota 23.3, p. 55/22).</w:t>
      </w:r>
    </w:p>
    <w:p>
      <w:pPr>
        <w:pStyle w:val="Compact"/>
        <w:numPr>
          <w:ilvl w:val="0"/>
          <w:numId w:val="339"/>
        </w:numPr>
        <w:rPr/>
      </w:pPr>
      <w:r>
        <w:rPr>
          <w:b/>
          <w:bCs/>
        </w:rPr>
        <w:t>No ITR do 2T26:</w:t>
      </w:r>
      <w:r>
        <w:rPr/>
        <w:t xml:space="preserve"> reclassificação prospectiva de 29.599.494 do ativo financeiro da concessão para o intangível (nota 11, p. 49/15).</w:t>
      </w:r>
    </w:p>
    <w:p>
      <w:pPr>
        <w:pStyle w:val="Compact"/>
        <w:numPr>
          <w:ilvl w:val="0"/>
          <w:numId w:val="340"/>
        </w:numPr>
        <w:rPr/>
      </w:pPr>
      <w:r>
        <w:rPr>
          <w:b/>
          <w:bCs/>
        </w:rPr>
        <w:t>Mútuos com a SGEL:</w:t>
      </w:r>
      <w:r>
        <w:rPr/>
        <w:t xml:space="preserve"> 200.000 (abril) e 1.805.000 (julho), divulgados em comunicados de transação com partes relacionadas de 27/04 e 07/07/2026.</w:t>
      </w:r>
    </w:p>
    <w:p>
      <w:pPr>
        <w:pStyle w:val="Compact"/>
        <w:numPr>
          <w:ilvl w:val="0"/>
          <w:numId w:val="341"/>
        </w:numPr>
        <w:rPr/>
      </w:pPr>
      <w:r>
        <w:rPr>
          <w:b/>
          <w:bCs/>
        </w:rPr>
        <w:t>Tarifas:</w:t>
      </w:r>
      <w:r>
        <w:rPr/>
        <w:t xml:space="preserve"> RTA da Paulista e RTP da Santa Cruz (abril/2026).</w:t>
      </w:r>
    </w:p>
    <w:p>
      <w:pPr>
        <w:pStyle w:val="Compact"/>
        <w:numPr>
          <w:ilvl w:val="0"/>
          <w:numId w:val="342"/>
        </w:numPr>
        <w:rPr/>
      </w:pPr>
      <w:r>
        <w:rPr>
          <w:b/>
          <w:bCs/>
        </w:rPr>
        <w:t>Outros:</w:t>
      </w:r>
      <w:r>
        <w:rPr/>
        <w:t xml:space="preserve"> temporal em Ribeirão Preto (julho/2026) e regulamentação do curtailment (Portaria MME 140/2026).</w:t>
      </w:r>
    </w:p>
    <w:p>
      <w:pPr>
        <w:pStyle w:val="FirstParagraph"/>
        <w:rPr/>
      </w:pPr>
      <w:r>
        <w:rPr>
          <w:b/>
          <w:bCs/>
        </w:rPr>
        <w:t>Avaliação.</w:t>
      </w:r>
      <w:r>
        <w:rPr/>
        <w:t xml:space="preserve"> São condições </w:t>
      </w:r>
      <w:r>
        <w:rPr>
          <w:b/>
          <w:bCs/>
        </w:rPr>
        <w:t>surgidas depois</w:t>
      </w:r>
      <w:r>
        <w:rPr/>
        <w:t xml:space="preserve"> da data do relatório. A NBC TA 560 não obriga o auditor a executar procedimentos após a divulgação (item 14). Só haveria ação se surgisse fato que, </w:t>
      </w:r>
      <w:r>
        <w:rPr>
          <w:b/>
          <w:bCs/>
        </w:rPr>
        <w:t>conhecido na data do relatório</w:t>
      </w:r>
      <w:r>
        <w:rPr/>
        <w:t>, poderia ter levado a alterá-lo. Nenhum dos fatos acima se enquadra nisso: a assinatura dos aditivos é evento novo, tratado prospectivamente pela própria companhia em 2026. Esses fatos não são tratados como conhecidos em 31/12/2025.</w:t>
      </w:r>
    </w:p>
    <w:p>
      <w:pPr>
        <w:pStyle w:val="BodyText"/>
        <w:rPr/>
      </w:pPr>
      <w:r>
        <w:rPr>
          <w:b/>
          <w:bCs/>
        </w:rPr>
        <w:t>4. Corte da pesquisa (23/10/2026)</w:t>
      </w:r>
    </w:p>
    <w:p>
      <w:pPr>
        <w:pStyle w:val="Compact"/>
        <w:numPr>
          <w:ilvl w:val="0"/>
          <w:numId w:val="343"/>
        </w:numPr>
        <w:rPr/>
      </w:pPr>
      <w:r>
        <w:rPr>
          <w:b/>
          <w:bCs/>
        </w:rPr>
        <w:t>Fontes consultadas em 23/10/2026:</w:t>
      </w:r>
    </w:p>
    <w:p>
      <w:pPr>
        <w:pStyle w:val="Compact"/>
        <w:numPr>
          <w:ilvl w:val="1"/>
          <w:numId w:val="344"/>
        </w:numPr>
        <w:rPr/>
      </w:pPr>
      <w:r>
        <w:rPr/>
        <w:t>lista de comunicados ao mercado de 2026 no RI da CPFL. Último: alteração do calendário de eventos em 14/10/2026, com a conferência do 3T26 remarcada de 13/11 para 16/11/2026;</w:t>
      </w:r>
    </w:p>
    <w:p>
      <w:pPr>
        <w:pStyle w:val="Compact"/>
        <w:numPr>
          <w:ilvl w:val="1"/>
          <w:numId w:val="345"/>
        </w:numPr>
        <w:rPr/>
      </w:pPr>
      <w:r>
        <w:rPr/>
        <w:t>aviso de dividendos de 02/10/2026;</w:t>
      </w:r>
    </w:p>
    <w:p>
      <w:pPr>
        <w:pStyle w:val="Compact"/>
        <w:numPr>
          <w:ilvl w:val="1"/>
          <w:numId w:val="346"/>
        </w:numPr>
        <w:rPr/>
      </w:pPr>
      <w:r>
        <w:rPr/>
        <w:t>notícias sobre o pagamento de dividendos em 23/10/2026.</w:t>
      </w:r>
    </w:p>
    <w:p>
      <w:pPr>
        <w:pStyle w:val="Compact"/>
        <w:numPr>
          <w:ilvl w:val="0"/>
          <w:numId w:val="347"/>
        </w:numPr>
        <w:rPr/>
      </w:pPr>
      <w:r>
        <w:rPr>
          <w:b/>
          <w:bCs/>
        </w:rPr>
        <w:t>Resultado:</w:t>
      </w:r>
      <w:r>
        <w:rPr/>
        <w:t xml:space="preserve"> nenhum fato relevante novo após o ITR 2T26 (autorizado em 10/08/2026) foi identificado.</w:t>
      </w:r>
    </w:p>
    <w:p>
      <w:pPr>
        <w:pStyle w:val="Compact"/>
        <w:numPr>
          <w:ilvl w:val="0"/>
          <w:numId w:val="348"/>
        </w:numPr>
        <w:rPr/>
      </w:pPr>
      <w:r>
        <w:rPr>
          <w:b/>
          <w:bCs/>
        </w:rPr>
        <w:t>Limitação:</w:t>
      </w:r>
      <w:r>
        <w:rPr/>
        <w:t xml:space="preserve"> o conteúdo dos comunicados de partes relacionadas de 27/04 e 07/07/2026 não pôde ser aberto pelo link do RI, que retornou outro documento. Ele foi inferido das notas dos ITRs (23.2 e 24.1).</w:t>
      </w:r>
    </w:p>
    <w:p>
      <w:pPr>
        <w:pStyle w:val="Compact"/>
        <w:numPr>
          <w:ilvl w:val="0"/>
          <w:numId w:val="349"/>
        </w:numPr>
        <w:rPr/>
      </w:pPr>
      <w:r>
        <w:rPr/>
        <w:t xml:space="preserve">A data de corte deve ser </w:t>
      </w:r>
      <w:r>
        <w:rPr>
          <w:b/>
          <w:bCs/>
        </w:rPr>
        <w:t>atualizada e efetivamente pesquisada</w:t>
      </w:r>
      <w:r>
        <w:rPr/>
        <w:t xml:space="preserve"> na revisão final (Bloco 12).</w:t>
      </w:r>
    </w:p>
    <w:p>
      <w:pPr>
        <w:pStyle w:val="FirstParagraph"/>
        <w:rPr/>
      </w:pPr>
      <w:r>
        <w:rPr>
          <w:b/>
          <w:bCs/>
        </w:rPr>
        <w:t>5. Atualização do corte em 23/10/2026, às 21h (Bloco 12)</w:t>
      </w:r>
    </w:p>
    <w:p>
      <w:pPr>
        <w:pStyle w:val="BodyText"/>
        <w:rPr/>
      </w:pPr>
      <w:r>
        <w:rPr/>
        <w:t>A lista de comunicados de 2026 do RI da CPFL foi relida integralmente no Bloco 12. Itens não citados na versão anterior: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92"/>
        <w:gridCol w:w="2493"/>
        <w:gridCol w:w="2493"/>
        <w:gridCol w:w="2493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Documento (título no RI)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Classificação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23/01 e 02/02/2026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Fatos relevantes de reorganização societária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Já tratado (nota 37.1: incorporação da CPFL Geração)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06/03/2026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 relevante: renúncia de membro do Conselho de Administração (substituto eleito)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Após o relatório; governança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 nas DF de 2025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10–17/03/2026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21ª emissão de debêntures da CPFL Energia e 8ª da CPFL Santa Cruz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Captação após o relatório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Atenua o risco de liquidez (PT 570)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01–10/09/2026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Escritura e anúncio de início da 19ª emissão de debêntures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Captação após o relatório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Idem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Abr–out/2026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Avisos de dividendos (29/04, 11/05, 01/06, 05/08, 04/09, 02/10)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Pagamento da proposta de 2025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Saída já considerada no PT 570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15/10/2026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Atas da 585ª e da 586ª RCA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lidas (conteúdo não aberto)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Desconhecido: limitação</w:t>
            </w:r>
          </w:p>
        </w:tc>
      </w:tr>
    </w:tbl>
    <w:p>
      <w:pPr>
        <w:pStyle w:val="Compact"/>
        <w:numPr>
          <w:ilvl w:val="0"/>
          <w:numId w:val="350"/>
        </w:numPr>
        <w:rPr/>
      </w:pPr>
      <w:r>
        <w:rPr>
          <w:b/>
          <w:bCs/>
        </w:rPr>
        <w:t>Nenhum fato relevante</w:t>
      </w:r>
      <w:r>
        <w:rPr/>
        <w:t xml:space="preserve"> foi publicado após 08/05/2026 até o corte. A conferência do 3T26 está prevista para 16/11/2026, depois da entrega.</w:t>
      </w:r>
    </w:p>
    <w:p>
      <w:pPr>
        <w:pStyle w:val="Compact"/>
        <w:numPr>
          <w:ilvl w:val="0"/>
          <w:numId w:val="351"/>
        </w:numPr>
        <w:rPr/>
      </w:pPr>
      <w:r>
        <w:rPr>
          <w:b/>
          <w:bCs/>
        </w:rPr>
        <w:t>Conclusão inalterada:</w:t>
      </w:r>
      <w:r>
        <w:rPr/>
        <w:t xml:space="preserve"> nenhum fato altera riscos, continuidade ou a conclusão. As novas captações reforçam o acesso a mercado já considerado no PT 570.</w:t>
      </w:r>
    </w:p>
    <w:p>
      <w:pPr>
        <w:pStyle w:val="Compact"/>
        <w:numPr>
          <w:ilvl w:val="0"/>
          <w:numId w:val="352"/>
        </w:numPr>
        <w:rPr/>
      </w:pPr>
      <w:r>
        <w:rPr>
          <w:b/>
          <w:bCs/>
        </w:rPr>
        <w:t>Limitação:</w:t>
      </w:r>
      <w:r>
        <w:rPr/>
        <w:t xml:space="preserve"> os valores das emissões de 2026 e o conteúdo das atas de 15/10/2026 não foram lidos. Os títulos vêm da lista do RI (</w:t>
      </w:r>
      <w:hyperlink r:id="rId2">
        <w:r>
          <w:rPr>
            <w:rStyle w:val="Hyperlink"/>
          </w:rPr>
          <w:t>ri.cpfl.com.br</w:t>
        </w:r>
      </w:hyperlink>
      <w:r>
        <w:rPr/>
        <w:t>, acesso em 23/10/2026). A renúncia foi confirmada em notícia de 09/03/2026 (Cenário Energia). Nomes de pessoas foram omitidos.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32, 44–45, 68, 96, 113–114; ITR 1T26 p. 42, 55, 58; ITR 2T26 p. 43–44, 49, 59–60, 65; Fato Relevante de 08/05/2026; RI CPFL (comunicados de 2026, consultados em 23/10/2026); CPFL_B10_Litigios_Confirmacoes_Eventos_Continuidade.xlsx (PT560_Linha_Tempo). Referências cruzadas: PT 450, PT 501, PT 540, PT 550, PT 570, PT 580. Bloco 12: lista de comunicados 2026 do RI (relida em 23/10/2026); Cenário Energia, 09/03/2026.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Quatro eventos da janela 1 avaliados (um de ajuste a verificar: IRRF Jantus; três de divulgação adequada) e a incerteza da renovação divulgada. Onze eventos de 2026 posicionados após a divulgação, sem efeito sobre as DF de 2025. Corte efetivo da pesquisa em 23/10/2026. Corte atualizado em 23/10/2026 (Bloco 12): sem fato relevante novo; novas emissões de debêntures e atas de 15/10/2026 (não lidas) registradas.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 evidência pública, os eventos subsequentes conhecidos até 04/03/2026 estão divulgados. Fica pendente a confirmação do reconhecimento do IRRF Jantus. Fatos de 2026 não alteram as DF de 2025.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indagações, atas e representação formal. Dois comunicados de 2026 não puderam ser lidos na íntegra. Publicação legal em 20/03/2026 obtida de fonte secundária (URL citada na ata da base).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Procedimentos até a data do relatório e reação a fatos conhecidos depois (itens 6–17).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Exemplos de eventos que originam ou não ajuste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Corte de pesquisa em 23/10/2026 (D-B12-02); renovação tratada como evento de 2026 (D-B09-03).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52" w:name="__RefHeading___Toc31535_1660191972"/>
      <w:bookmarkEnd w:id="52"/>
      <w:r>
        <w:rPr/>
        <w:t>PT 570 — Continuidade operacional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570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Continuidade operacional. NBC TA 570 (versão de 2016, aplicável a 2025; a (R1) de 2026 só se aplica a partir de 2027 — D-B01-02; NORMAS p. 639–659). Itens: 10–11 (avaliação de risco e atenção contínua; p. 642–643), 12–14 (revisão da avaliação da administração;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13: período de pelo menos 12 meses a partir da data das DF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; p. 643), 15 (período posterior), 16 (procedimentos adicionais: planos, previsão de caixa, fatos novos, representações), 17–19 (conclusão: incerteza relevante; p. 644), 20–24 (relatório; p. 645), 25 (comunicação).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se há eventos ou condições que possam levantar dúvida significativa sobre a continuidade, considerando liquidez, dívida, vencimentos, compromissos, cláusulas restritivas e eventos adversos no horizonte de 12 meses a partir de 31/12/2025, e se as divulgações são adequadas.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Capital circulante líquido −1.259.649 (nota 1.4, p. 44/12); passivos financeiros não descontados de 48.423.044 (nota 34 g, p. 113/81); dívida bruta de 29.055.727; compromissos de 79.413.507 (nota 36, p. 113/81); covenants (notas 18–19, p. 82–83).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Apresentação e divulgação (base de continuidade). Risco R17 (baixo) do PT 315.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34–39, 44, 82–83, 110–114; Release 4T25 p. 3–4 e 15; ITRs de 2026; CPFL_B10_Litigios_Confirmacoes_Eventos_Continuidade.xlsx, aba PT570_Liquidez.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570-01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Indicadores de liquidez e endividamento; vencimentos em 12 meses (nota 34 g) e cobertura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570-02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Covenants: parâmetros divulgados × indicador divulgado pela administração (release); folga e cenários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(informação da administração, não auditada)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570-03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Fatores atenuantes: geração de caixa, captações de jan/2026, refinanciamentos, perfil de prazo, controlador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570-04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Obter e testar a avaliação da administração e a previsão de caixa de 12 meses (itens 12–16)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570-05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Recalcular os covenants com as definições contratuais e confirmar ausência de waivers (CF-04)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570-06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Representação formal sobre os planos e a continuidade (item 16(e); PT 580)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Horizonte e versão aplicável</w:t>
      </w:r>
    </w:p>
    <w:p>
      <w:pPr>
        <w:pStyle w:val="Compact"/>
        <w:numPr>
          <w:ilvl w:val="0"/>
          <w:numId w:val="353"/>
        </w:numPr>
        <w:rPr/>
      </w:pPr>
      <w:r>
        <w:rPr/>
        <w:t xml:space="preserve">A versão de 2016 exige que a avaliação cubra </w:t>
      </w:r>
      <w:r>
        <w:rPr>
          <w:b/>
          <w:bCs/>
        </w:rPr>
        <w:t>pelo menos 12 meses a partir da data das DF</w:t>
      </w:r>
      <w:r>
        <w:rPr/>
        <w:t xml:space="preserve"> (item 13): até 31/12/2026.</w:t>
      </w:r>
    </w:p>
    <w:p>
      <w:pPr>
        <w:pStyle w:val="Compact"/>
        <w:numPr>
          <w:ilvl w:val="0"/>
          <w:numId w:val="354"/>
        </w:numPr>
        <w:rPr/>
      </w:pPr>
      <w:r>
        <w:rPr/>
        <w:t>A NBC TA 570 (R1), publicada em 2026, não se aplica a 2025.</w:t>
      </w:r>
    </w:p>
    <w:p>
      <w:pPr>
        <w:pStyle w:val="FirstParagraph"/>
        <w:rPr/>
      </w:pPr>
      <w:r>
        <w:rPr>
          <w:b/>
          <w:bCs/>
        </w:rPr>
        <w:t>2. Eventos e condições (item 10)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Indicador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Leitura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Capital circulante líquido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(1.259.649); 2024: (818.989)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Condição a avaliar; a companhia informa plano de financiamento aprovado (nota 1.4)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Liquidez corrente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0,93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Abaixo de 1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Passivos financeiros em até 12 meses (fluxo não descontado)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12.916.273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Soma das três primeiras faixas da nota 34 g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Caixa + TVM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2.905.082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Cobertura de amortizações de 12 meses de 0,61x segundo a companhia (release p. 15)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Caixa operacional de 2025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7.162.797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 atenuante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Dividendos de 2025 a pagar em 2026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4.300.000 (proposta; AGO de 29/04/2026)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Saída relevante, pagos em parcelas até out/2026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Captações de jan/2026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1.900.000 (debêntures, nota 37.3)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 atenuante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Compromissos de compra de energia e obras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79.413.507, dos quais 24.987.753 em até 1 ano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Repassáveis em grande parte pela tarifa (distribuição)</w:t>
            </w:r>
          </w:p>
        </w:tc>
      </w:tr>
    </w:tbl>
    <w:p>
      <w:pPr>
        <w:pStyle w:val="BodyText"/>
        <w:rPr/>
      </w:pPr>
      <w:r>
        <w:rPr/>
        <w:t xml:space="preserve">A cobertura simples, (caixa + FCO − dividendos + captações) ÷ saídas de 12 meses, é </w:t>
      </w:r>
      <w:r>
        <w:rPr>
          <w:b/>
          <w:bCs/>
        </w:rPr>
        <w:t>0,59x</w:t>
      </w:r>
      <w:r>
        <w:rPr/>
        <w:t xml:space="preserve"> (cenário didático). Ela </w:t>
      </w:r>
      <w:r>
        <w:rPr>
          <w:b/>
          <w:bCs/>
        </w:rPr>
        <w:t>ignora</w:t>
      </w:r>
      <w:r>
        <w:rPr/>
        <w:t xml:space="preserve"> capex e refinanciamentos, e por isso </w:t>
      </w:r>
      <w:r>
        <w:rPr>
          <w:b/>
          <w:bCs/>
        </w:rPr>
        <w:t>não</w:t>
      </w:r>
      <w:r>
        <w:rPr/>
        <w:t xml:space="preserve"> indica, sozinha, incapacidade de pagamento.</w:t>
      </w:r>
    </w:p>
    <w:p>
      <w:pPr>
        <w:pStyle w:val="BodyText"/>
        <w:rPr/>
      </w:pPr>
      <w:r>
        <w:rPr>
          <w:b/>
          <w:bCs/>
        </w:rPr>
        <w:t>3. Cláusulas restritivas (sem concluir pelo cumprimento)</w:t>
      </w:r>
    </w:p>
    <w:p>
      <w:pPr>
        <w:pStyle w:val="Compact"/>
        <w:numPr>
          <w:ilvl w:val="0"/>
          <w:numId w:val="355"/>
        </w:numPr>
        <w:rPr/>
      </w:pPr>
      <w:r>
        <w:rPr>
          <w:b/>
          <w:bCs/>
        </w:rPr>
        <w:t>Parâmetros:</w:t>
      </w:r>
      <w:r>
        <w:rPr/>
        <w:t xml:space="preserve"> dívida líquida/EBITDA ajustado ≤ 3,75; EBITDA ajustado/resultado financeiro ≥ 2,25; PL/(PL + dívida líquida) ≥ 0,28 (consolidado). Para as distribuidoras, dívida líquida/EBITDA ≤ 4,00 (notas 18–19, p. 82–83).</w:t>
      </w:r>
    </w:p>
    <w:p>
      <w:pPr>
        <w:pStyle w:val="Compact"/>
        <w:numPr>
          <w:ilvl w:val="0"/>
          <w:numId w:val="356"/>
        </w:numPr>
        <w:rPr/>
      </w:pPr>
      <w:r>
        <w:rPr>
          <w:b/>
          <w:bCs/>
        </w:rPr>
        <w:t>Posição divulgada:</w:t>
      </w:r>
      <w:r>
        <w:rPr/>
        <w:t xml:space="preserve"> a administração informa </w:t>
      </w:r>
      <w:r>
        <w:rPr>
          <w:b/>
          <w:bCs/>
        </w:rPr>
        <w:t>2,30x</w:t>
      </w:r>
      <w:r>
        <w:rPr/>
        <w:t xml:space="preserve"> de dívida líquida/EBITDA no critério dos covenants (release 4T25, p. 4 e 15), com dívida líquida de 30.530 e EBITDA pró-forma de 13.280 milhões. Recálculo aritmético: 2,30.</w:t>
      </w:r>
    </w:p>
    <w:p>
      <w:pPr>
        <w:pStyle w:val="Compact"/>
        <w:numPr>
          <w:ilvl w:val="0"/>
          <w:numId w:val="357"/>
        </w:numPr>
        <w:rPr/>
      </w:pPr>
      <w:r>
        <w:rPr>
          <w:b/>
          <w:bCs/>
        </w:rPr>
        <w:t>Folga calculada:</w:t>
      </w:r>
      <w:r>
        <w:rPr/>
        <w:t xml:space="preserve"> o EBITDA poderia cair 38,7%, ou a dívida líquida subir 19.270 milhões, antes de atingir 3,75 (cenário didático).</w:t>
      </w:r>
    </w:p>
    <w:p>
      <w:pPr>
        <w:pStyle w:val="Compact"/>
        <w:numPr>
          <w:ilvl w:val="0"/>
          <w:numId w:val="358"/>
        </w:numPr>
        <w:rPr/>
      </w:pPr>
      <w:r>
        <w:rPr>
          <w:b/>
          <w:bCs/>
        </w:rPr>
        <w:t>Limites da evidência:</w:t>
      </w:r>
    </w:p>
    <w:p>
      <w:pPr>
        <w:pStyle w:val="Compact"/>
        <w:numPr>
          <w:ilvl w:val="1"/>
          <w:numId w:val="359"/>
        </w:numPr>
        <w:rPr/>
      </w:pPr>
      <w:r>
        <w:rPr/>
        <w:t>o EBITDA “ajustado/pró-forma” usa consolidação proporcional e inclui o mútuo da SGEL, definições contratuais não públicas;</w:t>
      </w:r>
    </w:p>
    <w:p>
      <w:pPr>
        <w:pStyle w:val="Compact"/>
        <w:numPr>
          <w:ilvl w:val="1"/>
          <w:numId w:val="360"/>
        </w:numPr>
        <w:rPr/>
      </w:pPr>
      <w:r>
        <w:rPr/>
        <w:t>os dois outros índices não estão divulgados;</w:t>
      </w:r>
    </w:p>
    <w:p>
      <w:pPr>
        <w:pStyle w:val="Compact"/>
        <w:numPr>
          <w:ilvl w:val="1"/>
          <w:numId w:val="361"/>
        </w:numPr>
        <w:rPr/>
      </w:pPr>
      <w:r>
        <w:rPr/>
        <w:t xml:space="preserve">o indicador com dados auditados (dívida bruta − caixa − TVM) ÷ (resultado do serviço + D&amp;A) = 1,98 é </w:t>
      </w:r>
      <w:r>
        <w:rPr>
          <w:b/>
          <w:bCs/>
        </w:rPr>
        <w:t>diferente</w:t>
      </w:r>
      <w:r>
        <w:rPr/>
        <w:t xml:space="preserve"> do covenant e serve apenas de referência;</w:t>
      </w:r>
    </w:p>
    <w:p>
      <w:pPr>
        <w:pStyle w:val="Compact"/>
        <w:numPr>
          <w:ilvl w:val="1"/>
          <w:numId w:val="362"/>
        </w:numPr>
        <w:rPr/>
      </w:pPr>
      <w:r>
        <w:rPr/>
        <w:t xml:space="preserve">a afirmação da administração de que não houve não conformidade (p. 83) </w:t>
      </w:r>
      <w:r>
        <w:rPr>
          <w:b/>
          <w:bCs/>
        </w:rPr>
        <w:t>não foi verificada</w:t>
      </w:r>
      <w:r>
        <w:rPr/>
        <w:t>.</w:t>
      </w:r>
    </w:p>
    <w:p>
      <w:pPr>
        <w:pStyle w:val="Compact"/>
        <w:numPr>
          <w:ilvl w:val="0"/>
          <w:numId w:val="363"/>
        </w:numPr>
        <w:rPr/>
      </w:pPr>
      <w:r>
        <w:rPr>
          <w:b/>
          <w:bCs/>
        </w:rPr>
        <w:t>Não se conclui pelo cumprimento</w:t>
      </w:r>
      <w:r>
        <w:rPr/>
        <w:t xml:space="preserve"> dos covenants (570-05, planejado).</w:t>
      </w:r>
    </w:p>
    <w:p>
      <w:pPr>
        <w:pStyle w:val="FirstParagraph"/>
        <w:rPr/>
      </w:pPr>
      <w:r>
        <w:rPr>
          <w:b/>
          <w:bCs/>
        </w:rPr>
        <w:t>4. Fatores atenuantes e eventos de 2026</w:t>
      </w:r>
    </w:p>
    <w:p>
      <w:pPr>
        <w:pStyle w:val="Compact"/>
        <w:numPr>
          <w:ilvl w:val="0"/>
          <w:numId w:val="364"/>
        </w:numPr>
        <w:rPr/>
      </w:pPr>
      <w:r>
        <w:rPr>
          <w:b/>
          <w:bCs/>
        </w:rPr>
        <w:t>Atenuantes:</w:t>
      </w:r>
    </w:p>
    <w:p>
      <w:pPr>
        <w:pStyle w:val="Compact"/>
        <w:numPr>
          <w:ilvl w:val="1"/>
          <w:numId w:val="365"/>
        </w:numPr>
        <w:rPr/>
      </w:pPr>
      <w:r>
        <w:rPr/>
        <w:t>geração de caixa recorrente;</w:t>
      </w:r>
    </w:p>
    <w:p>
      <w:pPr>
        <w:pStyle w:val="Compact"/>
        <w:numPr>
          <w:ilvl w:val="1"/>
          <w:numId w:val="366"/>
        </w:numPr>
        <w:rPr/>
      </w:pPr>
      <w:r>
        <w:rPr/>
        <w:t>perfil de dívida de 4,13 anos (release p. 15);</w:t>
      </w:r>
    </w:p>
    <w:p>
      <w:pPr>
        <w:pStyle w:val="Compact"/>
        <w:numPr>
          <w:ilvl w:val="1"/>
          <w:numId w:val="367"/>
        </w:numPr>
        <w:rPr/>
      </w:pPr>
      <w:r>
        <w:rPr/>
        <w:t>acesso a mercado: debêntures de jan/2026 e empréstimos de jul–ago/2026 (ITR 2T26 nota 24.2);</w:t>
      </w:r>
    </w:p>
    <w:p>
      <w:pPr>
        <w:pStyle w:val="Compact"/>
        <w:numPr>
          <w:ilvl w:val="1"/>
          <w:numId w:val="368"/>
        </w:numPr>
        <w:rPr/>
      </w:pPr>
      <w:r>
        <w:rPr/>
        <w:t>mútuos do controlador (SGEL) em 2026;</w:t>
      </w:r>
    </w:p>
    <w:p>
      <w:pPr>
        <w:pStyle w:val="Compact"/>
        <w:numPr>
          <w:ilvl w:val="1"/>
          <w:numId w:val="369"/>
        </w:numPr>
        <w:rPr/>
      </w:pPr>
      <w:r>
        <w:rPr/>
        <w:t>prorrogação das concessões das três maiores distribuidoras por 30 anos (assinada em 06/05/2026).</w:t>
      </w:r>
    </w:p>
    <w:p>
      <w:pPr>
        <w:pStyle w:val="Compact"/>
        <w:numPr>
          <w:ilvl w:val="0"/>
          <w:numId w:val="370"/>
        </w:numPr>
        <w:rPr/>
      </w:pPr>
      <w:r>
        <w:rPr>
          <w:b/>
          <w:bCs/>
        </w:rPr>
        <w:t>Eventos adversos identificados:</w:t>
      </w:r>
      <w:r>
        <w:rPr/>
        <w:t xml:space="preserve"> temporal de Ribeirão Preto (julho/2026; baixas e provisões divulgadas no ITR 2T26, nota 24.4) e curtailment na geração. Nenhum aponta para dúvida significativa.</w:t>
      </w:r>
    </w:p>
    <w:p>
      <w:pPr>
        <w:pStyle w:val="Compact"/>
        <w:numPr>
          <w:ilvl w:val="0"/>
          <w:numId w:val="371"/>
        </w:numPr>
        <w:rPr/>
      </w:pPr>
      <w:r>
        <w:rPr>
          <w:b/>
          <w:bCs/>
        </w:rPr>
        <w:t>Dependência de refinanciamento:</w:t>
      </w:r>
      <w:r>
        <w:rPr/>
        <w:t xml:space="preserve"> a cobertura de 0,61x indica refinanciamento contínuo, o que é característico do setor. Seria testada com a previsão de caixa da administração (item 16(c)).</w:t>
      </w:r>
    </w:p>
    <w:p>
      <w:pPr>
        <w:pStyle w:val="FirstParagraph"/>
        <w:rPr/>
      </w:pPr>
      <w:r>
        <w:rPr>
          <w:b/>
          <w:bCs/>
        </w:rPr>
        <w:t>5. Diferenciação das fontes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85"/>
        <w:gridCol w:w="4986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Origem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Exemplos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 da administração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Nota 1.4 e afirmações das notas 18–19.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Não obtida em detalhe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Informação pública auditada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BP, DFC e notas 34 e 36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Informação pública não auditada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Release (2,30x; 0,61x)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Cenário didático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Coberturas e folgas calculadas</w:t>
            </w:r>
          </w:p>
        </w:tc>
      </w:tr>
    </w:tbl>
    <w:p>
      <w:pPr>
        <w:pStyle w:val="BodyText"/>
        <w:rPr/>
      </w:pPr>
      <w:r>
        <w:rPr/>
        <w:t xml:space="preserve">O relatório da PwC não traz seção de incerteza relevante sobre continuidade (DF25 p. 26–32). Isso </w:t>
      </w:r>
      <w:r>
        <w:rPr>
          <w:b/>
          <w:bCs/>
        </w:rPr>
        <w:t>não</w:t>
      </w:r>
      <w:r>
        <w:rPr/>
        <w:t xml:space="preserve"> é usado como conclusão deste trabalho.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26–32, 34–39, 44, 82–83, 110–114; Release 4T25 p. 3–4 e 15; ITR 1T26 e 2T26 (notas de eventos subsequentes); CPFL_B10_Litigios_Confirmacoes_Eventos_Continuidade.xlsx (PT570_Liquidez); CPFL_B10_Minutas_Confirmacao_NAO_ENVIADAS (PDF/DOCX) (CF-04). Referências cruzadas: PT 315 (R17), PT 520, PT 560, PT 580.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CCL negativo e cobertura de 12 meses inferior a 1 com caixa próprio, mitigados por geração de caixa, acesso a captações e covenant divulgado em 2,30x contra o limite de 3,75x. Cumprimento de covenants não verificado.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 a evidência pública disponível, não foram identificados eventos ou condições que, somados, indiquem dúvida significativa. A conclusão sobre a existência ou não de incerteza relevante exige a avaliação da administração, a previsão de caixa e o recálculo contratual dos covenants, todos planejados. Não é opinião sobre a CPFL.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previsão de caixa, contratos ou definições de EBITDA. Indicadores do release não auditados. Ratings não lidos (arquivos incompletos no Drive, PB01-04).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Avaliar eventos e condições, a avaliação da administração por ao menos 12 meses e concluir sobre incerteza relevante (itens 10–25, versão de 2016).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Exemplos de eventos e fatores atenuantes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Não concluir pelo cumprimento de covenants sem definições contratuais.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53" w:name="__RefHeading___Toc31537_1660191972"/>
      <w:bookmarkEnd w:id="53"/>
      <w:r>
        <w:rPr/>
        <w:t>PT 580 — Representações formais — minuta de carta (NÃO ENVIADA, sem assinatura)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23/10/2026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580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Representações formais — minuta de carta (NÃO ENVIADA, sem assinatura). NBC TA 580 (R1) (DOU 05/09/2016; NORMAS p. 660–671). Itens: 6 (objetivos; p. 662), 9 (a quem solicitar; p. 663), 10 (elaboração das DF), 11 (informações fornecidas e integridade das transações; p. 663–664), 13 (outras representações exigidas por outras NBC TA ou julgadas necessárias), 14 (data: o mais próxima possível, mas não posterior à do relatório), 15 (forma de carta; p. 664), 16–18 (dúvidas sobre a confiabilidade e inconsistências), 19–20 (representações não fornecidas: efeito na opinião; p. 665). Representações exigidas por outras normas: NBC TA 240, 250, 450 (item 14), 501 (item 12), 540, 550, 560 (item 9), 570.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Preparar a minuta da carta de representação que seria solicitada à administração, incluindo as representações específicas exigidas por outras NBC TA e as ligadas aos riscos do trabalho. Nada foi enviado e nada foi assinado.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consolidadas e individuais de 31/12/2025 como um todo.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Todas. Representações não substituem evidência (A1).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CPFL_B11_Minutas_Governanca_Representacoes_NAO_ENVIADAS (PDF/DOCX), seção 3; riscos R01–R19 (PT 315); PTs 240, 250, 450, 501, 540, 550, 560 e 570.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580-01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a quem solicitar: diretor-presidente e diretor financeiro, por categoria (item 9)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(documental)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580-02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Redigir as representações gerais (itens 10–11) e específicas (item 13)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Simulado para fins didáticos — MINUTA NÃO ENVIADA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580-03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a data e a forma (itens 14–15)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(documental): data em branco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580-04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Obter a carta assinada e avaliar sua confiabilidade (itens 16–18)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580-05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Tratar recusa ou representação não confiável (itens 19–20)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Destinatários e data</w:t>
      </w:r>
    </w:p>
    <w:p>
      <w:pPr>
        <w:pStyle w:val="Compact"/>
        <w:numPr>
          <w:ilvl w:val="0"/>
          <w:numId w:val="372"/>
        </w:numPr>
        <w:rPr/>
      </w:pPr>
      <w:r>
        <w:rPr/>
        <w:t xml:space="preserve">Signatários: </w:t>
      </w:r>
      <w:r>
        <w:rPr>
          <w:b/>
          <w:bCs/>
        </w:rPr>
        <w:t>diretor-presidente e diretor financeiro</w:t>
      </w:r>
      <w:r>
        <w:rPr/>
        <w:t xml:space="preserve"> (categoria), sem nomes. Campos de assinatura em branco.</w:t>
      </w:r>
    </w:p>
    <w:p>
      <w:pPr>
        <w:pStyle w:val="Compact"/>
        <w:numPr>
          <w:ilvl w:val="0"/>
          <w:numId w:val="373"/>
        </w:numPr>
        <w:rPr/>
      </w:pPr>
      <w:r>
        <w:rPr/>
        <w:t xml:space="preserve">Data: </w:t>
      </w:r>
      <w:r>
        <w:rPr>
          <w:b/>
          <w:bCs/>
        </w:rPr>
        <w:t>em branco</w:t>
      </w:r>
      <w:r>
        <w:rPr/>
        <w:t>. A regra (item 14) é a data mais próxima possível do relatório do auditor, nunca posterior. Como este trabalho não emite relatório, não se inventa data.</w:t>
      </w:r>
    </w:p>
    <w:p>
      <w:pPr>
        <w:pStyle w:val="FirstParagraph"/>
        <w:rPr/>
      </w:pPr>
      <w:r>
        <w:rPr>
          <w:b/>
          <w:bCs/>
        </w:rPr>
        <w:t>2. Conteúdo da minuta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Grupo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Representação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 / risco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Gerais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Responsabilidade pela elaboração das DF segundo as práticas contábeis adotadas no Brasil e as IFRS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580 item 10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Gerais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Acesso a todas as informações e registros; todas as transações registradas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580 item 11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Fraude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Responsabilidade pelos controles de prevenção; resultado da avaliação de risco; conhecimento de fraude ou suspeita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240 / R16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Leis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Descumprimentos conhecidos de leis e da regulação da ANEEL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250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Distorções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das distorções não corrigidas imaterial, com relação anexa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450 item 14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Litígios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Todos os litígios conhecidos informados e avaliados;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IRRF Jantus registrado em 31/12/2025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501 item 12 / R07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Estimativas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Métodos, premissas e dados razoáveis, inclusive o VNR (IPCA e base de remuneração) e a explicação da variação da Paulista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 / R01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Renovação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Divulgação adequada dos efeitos esperados dos aditivos de concessão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540 / CPC 26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Partes relacionadas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Identidade das partes e todas as transações informadas, inclusive o mútuo SGEL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550 / R13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Eventos subsequentes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Todos os eventos até a data da carta ajustados ou divulgados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560 item 9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Continuidade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Planos para os vencimentos de curto prazo; ausência de descumprimento de covenants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570 / R17</w:t>
            </w:r>
          </w:p>
        </w:tc>
      </w:tr>
    </w:tbl>
    <w:p>
      <w:pPr>
        <w:pStyle w:val="BodyText"/>
        <w:rPr/>
      </w:pPr>
      <w:r>
        <w:rPr>
          <w:b/>
          <w:bCs/>
        </w:rPr>
        <w:t>3. Se a carta não fosse fornecida (itens 19–20)</w:t>
      </w:r>
    </w:p>
    <w:p>
      <w:pPr>
        <w:pStyle w:val="BodyText"/>
        <w:rPr/>
      </w:pPr>
      <w:r>
        <w:rPr/>
        <w:t>A recusa das representações dos itens 10 e 11 levaria à abstenção de opinião. Neste trabalho a situação não se aplica, porque não há opinião.</w:t>
      </w:r>
    </w:p>
    <w:p>
      <w:pPr>
        <w:pStyle w:val="BodyText"/>
        <w:rPr/>
      </w:pPr>
      <w:r>
        <w:rPr/>
        <w:t>Minuta completa: CPFL_B11_Minutas_Governanca_Representacoes_NAO_ENVIADAS (PDF/DOCX), seção 3.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NORMAS p. 662–665; CPFL_B11_Minutas_Governanca_Representacoes_NAO_ENVIADAS (PDF/DOCX); PT 315 (R01, R07, R13, R16, R17). Referências cruzadas: PT 240, PT 250, PT 450, PT 501, PT 540, PT 550, PT 560, PT 570.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Minuta com 11 grupos de representação, incluindo as específicas exigidas por outras normas. Sem assinatura, sem data e NÃO ENVIADA.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 minuta cobre as representações exigidas e as ligadas aos riscos significativos. Não foi obtida representação alguma, então nenhum procedimento se apoia nela.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administração para assinar. Representações não substituem evidência (A1).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Solicitar representações de quem tem responsabilidade pelas DF; data não posterior à do relatório (itens 9–15); avaliar confiabilidade (itens 16–20).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Exemplo de carta do apêndice.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Minuta sem data e sem assinatura; signatários por cargo (D-B11-03).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23/10/2026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</w:p>
        </w:tc>
      </w:tr>
    </w:tbl>
    <w:p>
      <w:pPr>
        <w:pStyle w:val="Heading2"/>
        <w:rPr/>
      </w:pPr>
      <w:bookmarkStart w:id="54" w:name="__RefHeading___Toc31539_1660191972"/>
      <w:bookmarkEnd w:id="54"/>
      <w:r>
        <w:rPr/>
        <w:t>PT 600 — Auditoria de demonstrações contábeis de grupo</w:t>
      </w:r>
    </w:p>
    <w:p>
      <w:pPr>
        <w:pStyle w:val="FirstParagraph"/>
        <w:rPr/>
      </w:pPr>
      <w:r>
        <w:rPr>
          <w:i/>
          <w:iCs/>
        </w:rPr>
        <w:t>Versão 1.0 · Estado: versão final · Perímetro: consolidado CPFL Energia S.A., exercício 2025 · Preparado em 22/10/2026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 Código, título, norma e itens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PT 600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— Auditoria de demonstrações contábeis de grupo. NBC TA 600 (R2) (DOU 06/12/2023; aplicável a períodos iniciados a partir de 01/01/2024 — item 12, NORMAS p. 688). Itens: 13 (objetivos), 14 (definições: componente, auditor do componente, risco de agregação), 17 (aceitação), 22 (estratégia: onde executar trabalho e envolvimento de auditores de componentes), 24–26 (auditores de componentes: cooperação, ética, competência), 30 (entendimento do grupo e da consolidação), 33 (riscos, inclusive consolidação), 35 (materialidade de execução do componente &lt; execução do grupo; limite de comunicação ≤ trivial do grupo), 37–38 (respostas e consolidação), 45 (comunicações dos auditores de componentes), 49 (eventos subsequentes), 57 (comunicação à governança).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Objetivo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Mapear o grupo, seus componentes e a consolidação. Avaliar riscos, definir a materialidade dos componentes, planejar o envolvimento de auditores de componentes e avaliar a suficiência da evidência.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 Conta / processo / divulgação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consolidadas 2025 (ativo 81.099.930; LAIR 8.091.246) e investimentos da controladora (22.675.914; BP p. 34/2).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 Afirmações e riscos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 e apresentação da consolidação (R14); eliminações intragrupo; equivalência patrimonial de controladas em conjunto (380.803; BAESA e Chapecoense) e o julgamento de controle conjunto da Chapecoense; reorganizações societárias.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 População, fontes e seleção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nota 1 (p. 41–42), nota 13 (p. 69–74, inclusive 13.9.3 na p. 74), nota 30 (p. 103), nota 37.1 (p. 113); DF 2025 das controladas Paulista, RGE, Piratininga, Transmissão e Renováveis (Drive pasta 06); CPFL_B05_Grupo_Prestadores.xlsx.</w:t>
            </w:r>
          </w:p>
        </w:tc>
      </w:tr>
    </w:tbl>
    <w:p>
      <w:pPr>
        <w:pStyle w:val="BodyText"/>
        <w:rPr/>
      </w:pPr>
      <w:r>
        <w:rPr>
          <w:b/>
          <w:bCs/>
        </w:rPr>
        <w:t>5. Procedimentos planejados ou executados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5584"/>
        <w:gridCol w:w="3192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600-01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Mapear estrutura do grupo, natureza de cada participação e método contábil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600-02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Dimensionar componentes por ativo e resultado (nota 13.1) e por segmento (nota 30), com conciliação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— nota 30 concilia com o total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600-03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riscos da consolidação e das reorganizações de 2025–2026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600-04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Definir materialidade de execução dos componentes e limite de comunicação (item 35)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(julgamento documentado)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600-05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Identificar auditores dos componentes e opiniões emitidas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Realizado com evidência pública (5 controladas)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600-06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Enviar instruções aos auditores de componentes e obter comunicações (itens 24–26, 45)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 — modelo de instruções não enviado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600-07</w:t>
            </w:r>
          </w:p>
        </w:tc>
        <w:tc>
          <w:tcPr>
            <w:tcW w:w="5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Testar eliminações e o processo de consolidação (item 38)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Planejado por falta de acesso (sem mapa de consolidação)</w:t>
            </w:r>
          </w:p>
        </w:tc>
      </w:tr>
    </w:tbl>
    <w:p>
      <w:pPr>
        <w:pStyle w:val="BodyText"/>
        <w:rPr/>
      </w:pPr>
      <w:r>
        <w:rPr>
          <w:b/>
          <w:bCs/>
        </w:rPr>
        <w:t>Desenvolvimento</w:t>
      </w:r>
    </w:p>
    <w:p>
      <w:pPr>
        <w:pStyle w:val="BodyText"/>
        <w:rPr/>
      </w:pPr>
      <w:r>
        <w:rPr>
          <w:b/>
          <w:bCs/>
        </w:rPr>
        <w:t>1. Estrutura do grupo (nota 1, p. 41–42)</w:t>
      </w:r>
    </w:p>
    <w:p>
      <w:pPr>
        <w:pStyle w:val="Compact"/>
        <w:numPr>
          <w:ilvl w:val="0"/>
          <w:numId w:val="374"/>
        </w:numPr>
        <w:rPr/>
      </w:pPr>
      <w:r>
        <w:rPr>
          <w:b/>
          <w:bCs/>
        </w:rPr>
        <w:t>Controladas integrais ou majoritárias:</w:t>
      </w:r>
    </w:p>
    <w:p>
      <w:pPr>
        <w:pStyle w:val="Compact"/>
        <w:numPr>
          <w:ilvl w:val="1"/>
          <w:numId w:val="375"/>
        </w:numPr>
        <w:rPr/>
      </w:pPr>
      <w:r>
        <w:rPr/>
        <w:t>4 distribuidoras (Paulista, Piratininga, RGE, Santa Cruz);</w:t>
      </w:r>
    </w:p>
    <w:p>
      <w:pPr>
        <w:pStyle w:val="Compact"/>
        <w:numPr>
          <w:ilvl w:val="1"/>
          <w:numId w:val="376"/>
        </w:numPr>
        <w:rPr/>
      </w:pPr>
      <w:r>
        <w:rPr/>
        <w:t>geração (CPFL Renováveis, CPFL Geração, CERAN 65%, ENERCAN 52,12%, Paulista Lajeado 56,93%);</w:t>
      </w:r>
    </w:p>
    <w:p>
      <w:pPr>
        <w:pStyle w:val="Compact"/>
        <w:numPr>
          <w:ilvl w:val="1"/>
          <w:numId w:val="377"/>
        </w:numPr>
        <w:rPr/>
      </w:pPr>
      <w:r>
        <w:rPr/>
        <w:t>transmissão (CPFL Transmissão, TESB 98,01% e as sociedades de transmissão);</w:t>
      </w:r>
    </w:p>
    <w:p>
      <w:pPr>
        <w:pStyle w:val="Compact"/>
        <w:numPr>
          <w:ilvl w:val="1"/>
          <w:numId w:val="378"/>
        </w:numPr>
        <w:rPr/>
      </w:pPr>
      <w:r>
        <w:rPr/>
        <w:t>comercialização (CPFL Brasil e outras) e serviços.</w:t>
      </w:r>
    </w:p>
    <w:p>
      <w:pPr>
        <w:pStyle w:val="Compact"/>
        <w:numPr>
          <w:ilvl w:val="0"/>
          <w:numId w:val="379"/>
        </w:numPr>
        <w:rPr/>
      </w:pPr>
      <w:r>
        <w:rPr>
          <w:b/>
          <w:bCs/>
        </w:rPr>
        <w:t>Controladas em conjunto (equivalência patrimonial; nota 13.9.3, p. 74):</w:t>
      </w:r>
      <w:r>
        <w:rPr/>
        <w:t xml:space="preserve"> BAESA (25,01%) e Chapecoense (51%, controladora da Foz do Chapecó). O investimento total no consolidado é de 380.803 (BP p. 34/2).</w:t>
      </w:r>
    </w:p>
    <w:p>
      <w:pPr>
        <w:pStyle w:val="Compact"/>
        <w:numPr>
          <w:ilvl w:val="1"/>
          <w:numId w:val="380"/>
        </w:numPr>
        <w:rPr/>
      </w:pPr>
      <w:r>
        <w:rPr>
          <w:b/>
          <w:bCs/>
        </w:rPr>
        <w:t>Julgamento relevante:</w:t>
      </w:r>
      <w:r>
        <w:rPr/>
        <w:t xml:space="preserve"> mesmo com mais de 50% das ações da Chapecoense, a CPFL Geração a trata como controle conjunto com base no acordo de acionistas (p. 74).</w:t>
      </w:r>
    </w:p>
    <w:p>
      <w:pPr>
        <w:pStyle w:val="Compact"/>
        <w:numPr>
          <w:ilvl w:val="1"/>
          <w:numId w:val="381"/>
        </w:numPr>
        <w:rPr/>
      </w:pPr>
      <w:r>
        <w:rPr/>
        <w:t>Os empréstimos do BNDES da Chapecoense restringem dividendos acima do mínimo de 25% sem anuência do BNDES (p. 74).</w:t>
      </w:r>
    </w:p>
    <w:p>
      <w:pPr>
        <w:pStyle w:val="Compact"/>
        <w:numPr>
          <w:ilvl w:val="0"/>
          <w:numId w:val="382"/>
        </w:numPr>
        <w:rPr/>
      </w:pPr>
      <w:r>
        <w:rPr>
          <w:b/>
          <w:bCs/>
        </w:rPr>
        <w:t>Participações minoritárias:</w:t>
      </w:r>
      <w:r>
        <w:rPr/>
        <w:t xml:space="preserve"> TPAE (9,65%) e ETAU (10%) (nota 1). A classificação contábil não foi verificada; uma possibilidade é a linha “investimentos em instrumentos patrimoniais” (129.659).</w:t>
      </w:r>
    </w:p>
    <w:p>
      <w:pPr>
        <w:pStyle w:val="Compact"/>
        <w:numPr>
          <w:ilvl w:val="0"/>
          <w:numId w:val="383"/>
        </w:numPr>
        <w:rPr/>
      </w:pPr>
      <w:r>
        <w:rPr>
          <w:b/>
          <w:bCs/>
        </w:rPr>
        <w:t>Controlador:</w:t>
      </w:r>
      <w:r>
        <w:rPr/>
        <w:t xml:space="preserve"> State Grid Brazil Power Participações S.A. (nota 31, p. 103).</w:t>
      </w:r>
    </w:p>
    <w:p>
      <w:pPr>
        <w:pStyle w:val="FirstParagraph"/>
        <w:rPr/>
      </w:pPr>
      <w:r>
        <w:rPr>
          <w:b/>
          <w:bCs/>
        </w:rPr>
        <w:t>2. Componentes e porte relativo (nota 13.1, p. 70/38 — dados individuais de cada controlada)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62"/>
        <w:gridCol w:w="1661"/>
        <w:gridCol w:w="1662"/>
        <w:gridCol w:w="1663"/>
        <w:gridCol w:w="1661"/>
        <w:gridCol w:w="1662"/>
      </w:tblGrid>
      <w:tr>
        <w:trPr>
          <w:tblHeader w:val="true"/>
        </w:trPr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Componente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total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 2025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/ consolidado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 / LAIR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Abordagem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22.954.592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1.864.350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28,3%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23,0%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Informações financeiras completas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RGE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21.762.223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1.327.456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26,8%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16,4%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Informações financeiras completas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Transmissão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9.425.400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268.600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11,6%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3,3%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contratual (PAA 1) e receita de remuneração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Renováveis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8.335.380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1.062.034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10,3%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13,1%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Imobilizado, intangível e receita de geração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Piratininga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8.226.299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548.281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10,1%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6,8%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concessão, receita e dívida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Brasil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4.855.998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142.279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6,0%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1,8%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Corte da receita de comercialização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Geração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3.461.790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1.129.886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4,3%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14,0%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Analíticos e equivalência patrimonial; incorporada em 02/02/2026</w:t>
            </w:r>
          </w:p>
        </w:tc>
      </w:tr>
      <w:tr>
        <w:trPr/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Santa Cruz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2.647.005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130.563</w:t>
            </w:r>
          </w:p>
        </w:tc>
        <w:tc>
          <w:tcPr>
            <w:tcW w:w="1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3,3%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1,6%</w:t>
            </w:r>
          </w:p>
        </w:tc>
        <w:tc>
          <w:tcPr>
            <w:tcW w:w="1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 + analíticos</w:t>
            </w:r>
          </w:p>
        </w:tc>
      </w:tr>
    </w:tbl>
    <w:p>
      <w:pPr>
        <w:pStyle w:val="BodyText"/>
        <w:rPr/>
      </w:pPr>
      <w:r>
        <w:rPr/>
        <w:t>Os valores são individuais e incluem participações em outras controladas, por isso as porcentagens se sobrepõem e não somam 100%. A versão R2 da NBC TA 600 não usa mais a classificação “componente significativo”. A escolha dos componentes segue o risco e o risco de agregação (itens 22 e 33).</w:t>
      </w:r>
    </w:p>
    <w:p>
      <w:pPr>
        <w:pStyle w:val="BodyText"/>
        <w:rPr/>
      </w:pPr>
      <w:r>
        <w:rPr>
          <w:b/>
          <w:bCs/>
        </w:rPr>
        <w:t>3. Segmentos (nota 30, p. 103/71) — conciliação</w:t>
      </w:r>
    </w:p>
    <w:p>
      <w:pPr>
        <w:pStyle w:val="BodyText"/>
        <w:rPr/>
      </w:pPr>
      <w:r>
        <w:rPr/>
        <w:t>A soma de receita, LAIR e aquisições por segmento concilia com o consolidado. A receita difere em R$ 1 mil, por arredondamento.</w:t>
      </w:r>
    </w:p>
    <w:p>
      <w:pPr>
        <w:pStyle w:val="Compact"/>
        <w:numPr>
          <w:ilvl w:val="0"/>
          <w:numId w:val="384"/>
        </w:numPr>
        <w:rPr/>
      </w:pPr>
      <w:r>
        <w:rPr/>
        <w:t>A distribuição responde por 65,9% do LAIR e a geração por 31,5%.</w:t>
      </w:r>
    </w:p>
    <w:p>
      <w:pPr>
        <w:pStyle w:val="Compact"/>
        <w:numPr>
          <w:ilvl w:val="0"/>
          <w:numId w:val="385"/>
        </w:numPr>
        <w:rPr/>
      </w:pPr>
      <w:r>
        <w:rPr/>
        <w:t>A comercialização teve prejuízo antes dos impostos de 281.094.</w:t>
      </w:r>
    </w:p>
    <w:p>
      <w:pPr>
        <w:pStyle w:val="Compact"/>
        <w:numPr>
          <w:ilvl w:val="0"/>
          <w:numId w:val="386"/>
        </w:numPr>
        <w:rPr/>
      </w:pPr>
      <w:r>
        <w:rPr/>
        <w:t>As vendas entre segmentos de 3.330.455 são eliminadas na consolidação.</w:t>
      </w:r>
    </w:p>
    <w:p>
      <w:pPr>
        <w:pStyle w:val="FirstParagraph"/>
        <w:rPr/>
      </w:pPr>
      <w:r>
        <w:rPr/>
        <w:t>Um valor da tabela foi lido inicialmente com um dígito errado (aquisições de geração: 269.975, e não 259.975) e foi corrigido pela conciliação.</w:t>
      </w:r>
    </w:p>
    <w:p>
      <w:pPr>
        <w:pStyle w:val="BodyText"/>
        <w:rPr/>
      </w:pPr>
      <w:r>
        <w:rPr>
          <w:b/>
          <w:bCs/>
        </w:rPr>
        <w:t>4. Riscos da consolidação e de reorganizações (item 33)</w:t>
      </w:r>
    </w:p>
    <w:p>
      <w:pPr>
        <w:pStyle w:val="Compact"/>
        <w:numPr>
          <w:ilvl w:val="0"/>
          <w:numId w:val="387"/>
        </w:numPr>
        <w:rPr/>
      </w:pPr>
      <w:r>
        <w:rPr>
          <w:b/>
          <w:bCs/>
        </w:rPr>
        <w:t>Venda da EPASA</w:t>
      </w:r>
      <w:r>
        <w:rPr/>
        <w:t xml:space="preserve"> (junho/2025): baixa de investimento de 152.888 e despesa líquida de 92.325 (nota 13.4, p. 71).</w:t>
      </w:r>
    </w:p>
    <w:p>
      <w:pPr>
        <w:pStyle w:val="Compact"/>
        <w:numPr>
          <w:ilvl w:val="0"/>
          <w:numId w:val="388"/>
        </w:numPr>
        <w:rPr/>
      </w:pPr>
      <w:r>
        <w:rPr>
          <w:b/>
          <w:bCs/>
        </w:rPr>
        <w:t>Reestruturações de 2025:</w:t>
      </w:r>
    </w:p>
    <w:p>
      <w:pPr>
        <w:pStyle w:val="Compact"/>
        <w:numPr>
          <w:ilvl w:val="1"/>
          <w:numId w:val="389"/>
        </w:numPr>
        <w:rPr/>
      </w:pPr>
      <w:r>
        <w:rPr/>
        <w:t>cisão de 1,85% da CPFL Renováveis, que passou a ser controlada direta (nota 13.5);</w:t>
      </w:r>
    </w:p>
    <w:p>
      <w:pPr>
        <w:pStyle w:val="Compact"/>
        <w:numPr>
          <w:ilvl w:val="1"/>
          <w:numId w:val="390"/>
        </w:numPr>
        <w:rPr/>
      </w:pPr>
      <w:r>
        <w:rPr/>
        <w:t>mudança do controle acionário da CPFL Transmissão, com a CPFL Energia passando a deter 51% das ações ordinárias (nota 13.6).</w:t>
      </w:r>
    </w:p>
    <w:p>
      <w:pPr>
        <w:pStyle w:val="Compact"/>
        <w:numPr>
          <w:ilvl w:val="0"/>
          <w:numId w:val="391"/>
        </w:numPr>
        <w:rPr/>
      </w:pPr>
      <w:r>
        <w:rPr>
          <w:b/>
          <w:bCs/>
        </w:rPr>
        <w:t>Evento posterior:</w:t>
      </w:r>
      <w:r>
        <w:rPr/>
        <w:t xml:space="preserve"> incorporação da CPFL Geração pela CPFL Brasil em 02/02/2026, sem impacto no consolidado segundo a nota 37.1 (p. 113).</w:t>
      </w:r>
    </w:p>
    <w:p>
      <w:pPr>
        <w:pStyle w:val="Compact"/>
        <w:numPr>
          <w:ilvl w:val="0"/>
          <w:numId w:val="392"/>
        </w:numPr>
        <w:rPr/>
      </w:pPr>
      <w:r>
        <w:rPr>
          <w:b/>
          <w:bCs/>
        </w:rPr>
        <w:t>Eliminações intragrupo:</w:t>
      </w:r>
      <w:r>
        <w:rPr/>
        <w:t xml:space="preserve"> vendas entre segmentos de 3.330.455 e resultado financeiro intragrupo de 22.557 (nota 30). Mútuos entre partes relacionadas com o controlador (PT 550).</w:t>
      </w:r>
    </w:p>
    <w:p>
      <w:pPr>
        <w:pStyle w:val="Compact"/>
        <w:numPr>
          <w:ilvl w:val="0"/>
          <w:numId w:val="393"/>
        </w:numPr>
        <w:rPr/>
      </w:pPr>
      <w:r>
        <w:rPr>
          <w:b/>
          <w:bCs/>
        </w:rPr>
        <w:t>Classificação da Chapecoense como controle conjunto</w:t>
      </w:r>
      <w:r>
        <w:rPr/>
        <w:t xml:space="preserve"> (51% do capital votante; acordo de acionistas). Se a classificação estivesse errada, mudaria o método de consolidação. Resposta: ler o acordo de acionistas (planejado por falta de acesso).</w:t>
      </w:r>
    </w:p>
    <w:p>
      <w:pPr>
        <w:pStyle w:val="Compact"/>
        <w:numPr>
          <w:ilvl w:val="0"/>
          <w:numId w:val="394"/>
        </w:numPr>
        <w:rPr/>
      </w:pPr>
      <w:r>
        <w:rPr>
          <w:b/>
          <w:bCs/>
        </w:rPr>
        <w:t>Não controladores:</w:t>
      </w:r>
      <w:r>
        <w:rPr/>
        <w:t xml:space="preserve"> PL de 1.014.735 e lucro de 258.229 (BP p. 35; DRE p. 36). Exigem divulgação conforme o CPC 45 (nota 13.9).</w:t>
      </w:r>
    </w:p>
    <w:p>
      <w:pPr>
        <w:pStyle w:val="FirstParagraph"/>
        <w:rPr/>
      </w:pPr>
      <w:r>
        <w:rPr>
          <w:b/>
          <w:bCs/>
        </w:rPr>
        <w:t>5. Materialidade dos componentes (item 35)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Medida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 (R$ mil)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Critério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Execução do grupo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303.421,73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320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Execução — Paulista e RGE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212.395,21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70% da execução do grupo (inferior a ela, como exige o item 35(a))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Execução — demais componentes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151.710,86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50% da execução do grupo (mais componentes, maior risco de agregação)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Limite de comunicação de distorções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20.228,12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Igual ao trivial do grupo (item 35(b): não pode excedê-lo)</w:t>
            </w:r>
          </w:p>
        </w:tc>
      </w:tr>
    </w:tbl>
    <w:p>
      <w:pPr>
        <w:pStyle w:val="BodyText"/>
        <w:rPr/>
      </w:pPr>
      <w:r>
        <w:rPr/>
        <w:t>Os percentuais de 70% e 50% são julgamento; a norma exige apenas que fiquem abaixo da execução do grupo.</w:t>
      </w:r>
    </w:p>
    <w:p>
      <w:pPr>
        <w:pStyle w:val="BodyText"/>
        <w:rPr/>
      </w:pPr>
      <w:r>
        <w:rPr>
          <w:b/>
          <w:bCs/>
        </w:rPr>
        <w:t>6. Auditores dos componentes (itens 24–26)</w:t>
      </w:r>
    </w:p>
    <w:p>
      <w:pPr>
        <w:pStyle w:val="BodyText"/>
        <w:rPr/>
      </w:pPr>
      <w:r>
        <w:rPr/>
        <w:t>A PwC emitiu as DF 2025 da CPFL Paulista, Piratininga, Transmissão e Renováveis, com relatórios de 04/03/2026, e da RGE, com opinião sem modificação (data não localizada no texto extraído). É a mesma firma do grupo. Isso facilita a coordenação, mas não dispensa os requisitos de ética, competência e comunicação.</w:t>
      </w:r>
    </w:p>
    <w:p>
      <w:pPr>
        <w:pStyle w:val="BodyText"/>
        <w:rPr/>
      </w:pPr>
      <w:r>
        <w:rPr/>
        <w:t>Os auditores da Santa Cruz, CPFL Brasil, CPFL Geração e das controladas em conjunto não foram verificados.</w:t>
      </w:r>
    </w:p>
    <w:p>
      <w:pPr>
        <w:pStyle w:val="BodyText"/>
        <w:rPr/>
      </w:pPr>
      <w:r>
        <w:rPr>
          <w:b/>
          <w:bCs/>
        </w:rPr>
        <w:t>Modelo didático de instruções ao auditor do componente (NÃO ENVIADO):</w:t>
      </w:r>
      <w:r>
        <w:rPr/>
        <w:t xml:space="preserve"> escopo e informações financeiras a auditar, materialidade de execução do componente, limite de comunicação de 20.228,12, riscos significativos do grupo que afetam o componente (R01, R03), confirmação de independência e de cooperação (item 24), prazos e comunicações exigidas (item 45), e eventos subsequentes (item 49).</w:t>
      </w:r>
    </w:p>
    <w:p>
      <w:pPr>
        <w:pStyle w:val="BodyText"/>
        <w:rPr/>
      </w:pPr>
      <w:r>
        <w:rPr>
          <w:b/>
          <w:bCs/>
        </w:rPr>
        <w:t>7. Suficiência da evidência (avaliação preliminar)</w:t>
      </w:r>
    </w:p>
    <w:p>
      <w:pPr>
        <w:pStyle w:val="BodyText"/>
        <w:rPr/>
      </w:pPr>
      <w:r>
        <w:rPr/>
        <w:t xml:space="preserve">Para os componentes, há apenas evidência pública: as DF auditadas e as opiniões publicadas. Faltam as comunicações dos auditores, a documentação dos trabalhos e o mapa de consolidação. </w:t>
      </w:r>
      <w:r>
        <w:rPr>
          <w:b/>
          <w:bCs/>
        </w:rPr>
        <w:t>A evidência é insuficiente para uma conclusão de auditoria de grupo.</w:t>
      </w:r>
      <w:r>
        <w:rPr/>
        <w:t xml:space="preserve"> A limitação está registrada para o PT 500 e para a conclusão integrada.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7835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 Evidências e referências cruzadas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CPFL_B05_Grupo_Prestadores.xlsx (Componentes_600, Segmentos_nota30); DF25 p. 34–36, 41–42, 69–74, 103, 113; DF das controladas (Drive pasta 06). Referências cruzadas: PT 315 (R14), PT 320, PT 330, PT 402 (serviços compartilhados), PT 550, PT 560 (incorporação 2026), PT 260 (item 57).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Resultados e exceções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Grupo mapeado com 8 componentes principais e as controladas em conjunto. A nota 30 concilia com o consolidado (diferença de R$ 1 mil por arredondamento). Materialidades de componente definidas. Cinco relatórios de componentes identificados (PwC, sem modificação).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Conclusão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risco do grupo se concentra em duas distribuidoras (Paulista e RGE: cerca de 55% do ativo individual somado ao consolidado) e nas reorganizações societárias. A abordagem e a materialidade estão definidas. A evidência sobre componentes é limitada ao que é público.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Limitações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há mapa de consolidação, comunicação com auditores de componentes nem acesso a eliminações. Os dados de componentes são individuais e se sobrepõem. O FR truncado impediu confirmar a estrutura societária completa e a lista de auditores.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 Requisito × orientação × julgamento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Requisito: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Responsabilidade pela direção do trabalho do grupo, componentes, materialidade de componentes e consolidação (itens 13–49).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Orientação (não obrigatória):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Exemplos de componentes significativos (A-itens).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Julgamento do preparador: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Materialidade de componentes de 70%/50% da execução (D-B05-01).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8. Preparador e data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Matrícula 231020069 — preparação assistida por IA (Claude), conferida contra as fontes citadas — 22/10/2026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 Revisão</w:t>
            </w:r>
          </w:p>
        </w:tc>
        <w:tc>
          <w:tcPr>
            <w:tcW w:w="7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automatizada (segunda leitura técnica): RV-B01 a RV-B12 (PT 220; CPFL_B12_Revisao_Tecnica_Cobertura.xlsx). Nenhuma revisão de terceiros simulada</w:t>
            </w:r>
            <w:bookmarkStart w:id="55" w:name="papéis-de-trabalho"/>
            <w:bookmarkEnd w:id="55"/>
          </w:p>
        </w:tc>
      </w:tr>
    </w:tbl>
    <w:p>
      <w:pPr>
        <w:pStyle w:val="Heading1"/>
        <w:rPr/>
      </w:pPr>
      <w:r>
        <w:br w:type="page"/>
      </w:r>
      <w:bookmarkStart w:id="56" w:name="__RefHeading___Toc31541_1660191972"/>
      <w:bookmarkEnd w:id="56"/>
      <w:r>
        <w:rPr/>
        <w:t>6. Programas de auditoria por ciclo</w:t>
      </w:r>
    </w:p>
    <w:p>
      <w:pPr>
        <w:pStyle w:val="Heading2"/>
        <w:rPr/>
      </w:pPr>
      <w:bookmarkStart w:id="57" w:name="__RefHeading___Toc31543_1660191972"/>
      <w:bookmarkStart w:id="58" w:name="pg-rec-programa-de-auditoria-receitas"/>
      <w:bookmarkEnd w:id="57"/>
      <w:r>
        <w:rPr/>
        <w:t>PG-REC — Programa de auditoria: Receitas</w:t>
      </w:r>
    </w:p>
    <w:p>
      <w:pPr>
        <w:pStyle w:val="FirstParagraph"/>
        <w:rPr/>
      </w:pPr>
      <w:r>
        <w:rPr>
          <w:b/>
          <w:bCs/>
        </w:rPr>
        <w:t>Riscos:</w:t>
      </w:r>
      <w:r>
        <w:rPr/>
        <w:t xml:space="preserve"> R03, R04, R15, R16 · </w:t>
      </w:r>
      <w:r>
        <w:rPr>
          <w:b/>
          <w:bCs/>
        </w:rPr>
        <w:t>Saldo-base:</w:t>
      </w:r>
      <w:r>
        <w:rPr/>
        <w:t xml:space="preserve"> 44.367.780 (DRE p. 36/4) · </w:t>
      </w:r>
      <w:r>
        <w:rPr>
          <w:b/>
          <w:bCs/>
        </w:rPr>
        <w:t>Aplicabilidade:</w:t>
      </w:r>
      <w:r>
        <w:rPr/>
        <w:t xml:space="preserve"> Aplicável — maior classe de transações; presunção de fraude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8775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Nº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 e 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por componente da nota 26 (expectativa: variação tarifária + mercado) [Pub] — PT 520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receita de construção × adições de ativo contratual e intangível [Pub] — PT 520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Recalcular receita não faturada e testar corte com faturamento subsequente [P] — PT 540/560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Testar ITGC de medição/faturamento e controles de interface [P] — PT 330/402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 de lançamentos contábeis em contas de receita (critérios: manuais, fim de período, valores redondos) [P] — PT 240</w:t>
            </w:r>
          </w:p>
        </w:tc>
      </w:tr>
    </w:tbl>
    <w:p>
      <w:pPr>
        <w:pStyle w:val="BodyText"/>
        <w:rPr/>
      </w:pPr>
      <w:bookmarkStart w:id="59" w:name="pg-rec-programa-de-auditoria-receitas"/>
      <w:r>
        <w:rPr/>
        <w:t>Preparador: Matrícula 231020069 — preparação assistida por IA (Claude), conferida contra as fontes citadas — 22/10/2026. Revisão automatizada: RV-B04 e RV-B12.</w:t>
      </w:r>
      <w:bookmarkEnd w:id="59"/>
    </w:p>
    <w:p>
      <w:pPr>
        <w:pStyle w:val="Heading2"/>
        <w:rPr/>
      </w:pPr>
      <w:bookmarkStart w:id="60" w:name="__RefHeading___Toc31545_1660191972"/>
      <w:bookmarkStart w:id="61" w:name="Xb0299e623d10fd0c0ba5db41b444b60eabae3a4"/>
      <w:bookmarkEnd w:id="60"/>
      <w:r>
        <w:rPr/>
        <w:t>PG-DISP — Programa de auditoria: Disponibilidades</w:t>
      </w:r>
    </w:p>
    <w:p>
      <w:pPr>
        <w:pStyle w:val="FirstParagraph"/>
        <w:rPr/>
      </w:pPr>
      <w:r>
        <w:rPr>
          <w:b/>
          <w:bCs/>
        </w:rPr>
        <w:t>Riscos:</w:t>
      </w:r>
      <w:r>
        <w:rPr/>
        <w:t xml:space="preserve"> R11 · </w:t>
      </w:r>
      <w:r>
        <w:rPr>
          <w:b/>
          <w:bCs/>
        </w:rPr>
        <w:t>Saldo-base:</w:t>
      </w:r>
      <w:r>
        <w:rPr/>
        <w:t xml:space="preserve"> 2.229.320 + TVM 675.762 (BP p. 34/2) · </w:t>
      </w:r>
      <w:r>
        <w:rPr>
          <w:b/>
          <w:bCs/>
        </w:rPr>
        <w:t>Aplicabilidade:</w:t>
      </w:r>
      <w:r>
        <w:rPr/>
        <w:t xml:space="preserve"> Aplicável — saldo acima da materialidade global; risco baixo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8775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Nº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 e 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Conferir caixa da DFC × BP [Pub — feito no B02, CC03] — PT 500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Confirmação bancária: modelo e controle de circularização (não enviado) [S/P] — PT 505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Conciliações bancárias e extratos de janeiro/2026 [P] — PT 505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Verificar restrições e garantias (cauções, nota 12) [Pub] — PT 500</w:t>
            </w:r>
          </w:p>
        </w:tc>
      </w:tr>
    </w:tbl>
    <w:p>
      <w:pPr>
        <w:pStyle w:val="BodyText"/>
        <w:rPr/>
      </w:pPr>
      <w:bookmarkStart w:id="62" w:name="Xb0299e623d10fd0c0ba5db41b444b60eabae3a4"/>
      <w:r>
        <w:rPr/>
        <w:t>Preparador: Matrícula 231020069 — preparação assistida por IA (Claude), conferida contra as fontes citadas — 22/10/2026. Revisão automatizada: RV-B04 e RV-B12.</w:t>
      </w:r>
      <w:bookmarkEnd w:id="62"/>
    </w:p>
    <w:p>
      <w:pPr>
        <w:pStyle w:val="Heading2"/>
        <w:rPr/>
      </w:pPr>
      <w:bookmarkStart w:id="63" w:name="__RefHeading___Toc31547_1660191972"/>
      <w:bookmarkStart w:id="64" w:name="pg-est-programa-de-auditoria-estoques"/>
      <w:bookmarkEnd w:id="63"/>
      <w:r>
        <w:rPr/>
        <w:t>PG-EST — Programa de auditoria: Estoques</w:t>
      </w:r>
    </w:p>
    <w:p>
      <w:pPr>
        <w:pStyle w:val="FirstParagraph"/>
        <w:rPr/>
      </w:pPr>
      <w:r>
        <w:rPr>
          <w:b/>
          <w:bCs/>
        </w:rPr>
        <w:t>Riscos:</w:t>
      </w:r>
      <w:r>
        <w:rPr/>
        <w:t xml:space="preserve"> R12 · </w:t>
      </w:r>
      <w:r>
        <w:rPr>
          <w:b/>
          <w:bCs/>
        </w:rPr>
        <w:t>Saldo-base:</w:t>
      </w:r>
      <w:r>
        <w:rPr/>
        <w:t xml:space="preserve"> 236.566 (BP p. 34/2) · </w:t>
      </w:r>
      <w:r>
        <w:rPr>
          <w:b/>
          <w:bCs/>
        </w:rPr>
        <w:t>Aplicabilidade:</w:t>
      </w:r>
      <w:r>
        <w:rPr/>
        <w:t xml:space="preserve"> Aplicabilidade limitada — 58% da materialidade global; 0,3% do ativo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8775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Nº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 e 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de variação 2025 × 2024 (+6,8%) [Pub] — PT 520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Análise qualitativa: materiais de manutenção da distribuição; ausência de PAA [Pub] — PT 501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Acompanhamento de inventário apenas se o risco aumentar (NBC TA 501 item 4) [P] — PT 501</w:t>
            </w:r>
          </w:p>
        </w:tc>
      </w:tr>
    </w:tbl>
    <w:p>
      <w:pPr>
        <w:pStyle w:val="BodyText"/>
        <w:rPr/>
      </w:pPr>
      <w:bookmarkStart w:id="65" w:name="pg-est-programa-de-auditoria-estoques"/>
      <w:r>
        <w:rPr/>
        <w:t>Preparador: Matrícula 231020069 — preparação assistida por IA (Claude), conferida contra as fontes citadas — 22/10/2026. Revisão automatizada: RV-B04 e RV-B12.</w:t>
      </w:r>
      <w:bookmarkEnd w:id="65"/>
    </w:p>
    <w:p>
      <w:pPr>
        <w:pStyle w:val="Heading2"/>
        <w:rPr/>
      </w:pPr>
      <w:bookmarkStart w:id="66" w:name="__RefHeading___Toc31549_1660191972"/>
      <w:bookmarkStart w:id="67" w:name="X275e4dc8d56f401afbfad100301aad51b74508d"/>
      <w:bookmarkEnd w:id="66"/>
      <w:r>
        <w:rPr/>
        <w:t>PG-IMOB — Programa de auditoria: Imobilizado (e intangível/ativos da concessão)</w:t>
      </w:r>
    </w:p>
    <w:p>
      <w:pPr>
        <w:pStyle w:val="FirstParagraph"/>
        <w:rPr/>
      </w:pPr>
      <w:r>
        <w:rPr>
          <w:b/>
          <w:bCs/>
        </w:rPr>
        <w:t>Riscos:</w:t>
      </w:r>
      <w:r>
        <w:rPr/>
        <w:t xml:space="preserve"> R10, R01, R02 · </w:t>
      </w:r>
      <w:r>
        <w:rPr>
          <w:b/>
          <w:bCs/>
        </w:rPr>
        <w:t>Saldo-base:</w:t>
      </w:r>
      <w:r>
        <w:rPr/>
        <w:t xml:space="preserve"> 9.375.879 + intangível 6.892.839 (BP p. 34/2) · </w:t>
      </w:r>
      <w:r>
        <w:rPr>
          <w:b/>
          <w:bCs/>
        </w:rPr>
        <w:t>Aplicabilidade:</w:t>
      </w:r>
      <w:r>
        <w:rPr/>
        <w:t xml:space="preserve"> Aplicável — distinguir imobilizado societário da infraestrutura da concessão (ICPC 01)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8775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Nº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 e 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Movimentação das notas 14 e 16 e conciliação com DFC (aquisições 369.941) [Pub] — PT 500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Analítico de depreciação/amortização sobre saldo médio [Pub] — PT 520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indicadores de redução ao valor recuperável (nenhuma provisão em 2025) [Pub] — PT 540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Inspeção física e de documentos de adições [P] — PT 501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sintética: testes de existência/valor no ativo financeiro da concessão [S] — PT 530</w:t>
            </w:r>
          </w:p>
        </w:tc>
      </w:tr>
    </w:tbl>
    <w:p>
      <w:pPr>
        <w:pStyle w:val="BodyText"/>
        <w:rPr/>
      </w:pPr>
      <w:bookmarkStart w:id="68" w:name="X275e4dc8d56f401afbfad100301aad51b74508d"/>
      <w:r>
        <w:rPr/>
        <w:t>Preparador: Matrícula 231020069 — preparação assistida por IA (Claude), conferida contra as fontes citadas — 22/10/2026. Revisão automatizada: RV-B04 e RV-B12.</w:t>
      </w:r>
      <w:bookmarkEnd w:id="68"/>
    </w:p>
    <w:p>
      <w:pPr>
        <w:pStyle w:val="Heading2"/>
        <w:rPr/>
      </w:pPr>
      <w:bookmarkStart w:id="69" w:name="__RefHeading___Toc31551_1660191972"/>
      <w:bookmarkStart w:id="70" w:name="pg-pass-programa-de-auditoria-passivos"/>
      <w:bookmarkEnd w:id="69"/>
      <w:r>
        <w:rPr/>
        <w:t>PG-PASS — Programa de auditoria: Passivos</w:t>
      </w:r>
    </w:p>
    <w:p>
      <w:pPr>
        <w:pStyle w:val="FirstParagraph"/>
        <w:rPr/>
      </w:pPr>
      <w:r>
        <w:rPr>
          <w:b/>
          <w:bCs/>
        </w:rPr>
        <w:t>Riscos:</w:t>
      </w:r>
      <w:r>
        <w:rPr/>
        <w:t xml:space="preserve"> R06, R07, R13, R17, R19 · </w:t>
      </w:r>
      <w:r>
        <w:rPr>
          <w:b/>
          <w:bCs/>
        </w:rPr>
        <w:t>Saldo-base:</w:t>
      </w:r>
      <w:r>
        <w:rPr/>
        <w:t xml:space="preserve"> Passivo total 57.595.420 (BP p. 35/3) · </w:t>
      </w:r>
      <w:r>
        <w:rPr>
          <w:b/>
          <w:bCs/>
        </w:rPr>
        <w:t>Aplicabilidade:</w:t>
      </w:r>
      <w:r>
        <w:rPr/>
        <w:t xml:space="preserve"> Aplicável — dívida de 29.055.727 e provisões de 1.740.903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8775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Nº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 e 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Movimentação de empréstimos e debêntures × DFC [Pub] — PT 500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Recalcular covenants nas definições divulgadas (notas 18–19) [Pub, limitado] — PT 570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Busca de passivos não registrados: pagamentos subsequentes (ITR 1T26) [Pub, parcial] — PT 560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Cartas a advogados e confirmações de credores (modelos não enviados) [S/P] — PT 505/501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Fornecedores: analítico de prazo médio [Pub] — PT 520</w:t>
            </w:r>
          </w:p>
        </w:tc>
      </w:tr>
    </w:tbl>
    <w:p>
      <w:pPr>
        <w:pStyle w:val="BodyText"/>
        <w:rPr/>
      </w:pPr>
      <w:bookmarkStart w:id="71" w:name="pg-pass-programa-de-auditoria-passivos"/>
      <w:r>
        <w:rPr/>
        <w:t>Preparador: Matrícula 231020069 — preparação assistida por IA (Claude), conferida contra as fontes citadas — 22/10/2026. Revisão automatizada: RV-B04 e RV-B12.</w:t>
      </w:r>
      <w:bookmarkEnd w:id="71"/>
    </w:p>
    <w:p>
      <w:pPr>
        <w:pStyle w:val="Heading2"/>
        <w:rPr/>
      </w:pPr>
      <w:bookmarkStart w:id="72" w:name="__RefHeading___Toc31553_1660191972"/>
      <w:bookmarkStart w:id="73" w:name="Xdad3e6d246823b680480e2103caf0130f17e401"/>
      <w:bookmarkEnd w:id="72"/>
      <w:r>
        <w:rPr/>
        <w:t>PG-ESTIM — Programa de auditoria: Estimativas</w:t>
      </w:r>
    </w:p>
    <w:p>
      <w:pPr>
        <w:pStyle w:val="FirstParagraph"/>
        <w:rPr/>
      </w:pPr>
      <w:r>
        <w:rPr>
          <w:b/>
          <w:bCs/>
        </w:rPr>
        <w:t>Riscos:</w:t>
      </w:r>
      <w:r>
        <w:rPr/>
        <w:t xml:space="preserve"> R01, R02, R03, R05, R07, R08, R18 · </w:t>
      </w:r>
      <w:r>
        <w:rPr>
          <w:b/>
          <w:bCs/>
        </w:rPr>
        <w:t>Saldo-base:</w:t>
      </w:r>
      <w:r>
        <w:rPr/>
        <w:t xml:space="preserve"> AFC 29.623.619; ativo contratual 12.859.523; não faturada 1.763.858 · </w:t>
      </w:r>
      <w:r>
        <w:rPr>
          <w:b/>
          <w:bCs/>
        </w:rPr>
        <w:t>Aplicabilidade:</w:t>
      </w:r>
      <w:r>
        <w:rPr/>
        <w:t xml:space="preserve"> Aplicável — três PAA são estimativas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8775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Nº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 e 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Selecionar estimativa principal: VNR do ativo financeiro da concessão [Pub] — PT 540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Sensibilidade reproduzível das premissas (índice de atualização, taxa) [S/Pub] — PT 540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Revisão retrospectiva 2024 → 2025 (240 item 33(b)) [Pub] — PT 240/540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efeito da renovação das concessões (Fato Relevante 08/05/2026) [Pub] — PT 540/560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indicadores de viés da administração [Pub] — PT 540</w:t>
            </w:r>
          </w:p>
        </w:tc>
      </w:tr>
    </w:tbl>
    <w:p>
      <w:pPr>
        <w:pStyle w:val="BodyText"/>
        <w:rPr/>
      </w:pPr>
      <w:bookmarkStart w:id="74" w:name="Xdad3e6d246823b680480e2103caf0130f17e401"/>
      <w:r>
        <w:rPr/>
        <w:t>Preparador: Matrícula 231020069 — preparação assistida por IA (Claude), conferida contra as fontes citadas — 22/10/2026. Revisão automatizada: RV-B04 e RV-B12.</w:t>
      </w:r>
      <w:bookmarkEnd w:id="74"/>
    </w:p>
    <w:p>
      <w:pPr>
        <w:pStyle w:val="Heading2"/>
        <w:rPr/>
      </w:pPr>
      <w:bookmarkStart w:id="75" w:name="__RefHeading___Toc31555_1660191972"/>
      <w:bookmarkStart w:id="76" w:name="X5ec58a7cff3b33ecfe266eed92282253cc9d590"/>
      <w:bookmarkEnd w:id="75"/>
      <w:r>
        <w:rPr/>
        <w:t>PG-CONS — Programa de auditoria: Consolidação e grupo</w:t>
      </w:r>
    </w:p>
    <w:p>
      <w:pPr>
        <w:pStyle w:val="FirstParagraph"/>
        <w:rPr/>
      </w:pPr>
      <w:r>
        <w:rPr>
          <w:b/>
          <w:bCs/>
        </w:rPr>
        <w:t>Riscos:</w:t>
      </w:r>
      <w:r>
        <w:rPr/>
        <w:t xml:space="preserve"> R14, R13, R16 · </w:t>
      </w:r>
      <w:r>
        <w:rPr>
          <w:b/>
          <w:bCs/>
        </w:rPr>
        <w:t>Base:</w:t>
      </w:r>
      <w:r>
        <w:rPr/>
        <w:t xml:space="preserve"> consolidado de 81.099.930 (BP p. 34/2); segmentos (nota 30, p. 103/71); estrutura do grupo (nota 1) · </w:t>
      </w:r>
      <w:r>
        <w:rPr>
          <w:b/>
          <w:bCs/>
        </w:rPr>
        <w:t>Aplicabilidade:</w:t>
      </w:r>
      <w:r>
        <w:rPr/>
        <w:t xml:space="preserve"> Aplicável — grupo com distribuidoras, geração, transmissão e comercialização; reorganizações em 2025–2026 · </w:t>
      </w:r>
      <w:r>
        <w:rPr>
          <w:b/>
          <w:bCs/>
        </w:rPr>
        <w:t>Ligação:</w:t>
      </w:r>
      <w:r>
        <w:rPr/>
        <w:t xml:space="preserve"> PT 600, PT 550, PT 501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6"/>
        <w:gridCol w:w="8775"/>
      </w:tblGrid>
      <w:tr>
        <w:trPr>
          <w:tblHeader w:val="true"/>
        </w:trPr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Nº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Procedimento e modalidade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Mapear o perímetro de consolidação e o método por investida (nota 1 e nota 13) [Pub] — PT 600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Conciliar o LAIR dos segmentos com o consolidado (nota 30) [Pub — feito no B05, DV18] — PT 501/600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Conferir o saldo consolidado do ativo financeiro da concessão com a soma das distribuidoras (DFs individuais, nota 11) [Pub — B06] — PT 500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Conferir os demonstrativos consolidados com a base da CVM (DFP 2025, versão 1) [Pub — B13] — seção 3.2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Testar eliminações intragrupo (vendas entre segmentos e mútuos) com balancetes dos componentes [P] — PT 600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Enviar instruções aos auditores de componentes e avaliar seus relatórios [P] — PT 600</w:t>
            </w:r>
          </w:p>
        </w:tc>
      </w:tr>
      <w:tr>
        <w:trPr/>
        <w:tc>
          <w:tcPr>
            <w:tcW w:w="1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</w:t>
            </w:r>
          </w:p>
        </w:tc>
        <w:tc>
          <w:tcPr>
            <w:tcW w:w="8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Avaliar o julgamento de controle conjunto das investidas e efeitos das reorganizações de 2026 [Pub/P] — PT 600/560</w:t>
            </w:r>
          </w:p>
        </w:tc>
      </w:tr>
    </w:tbl>
    <w:p>
      <w:pPr>
        <w:pStyle w:val="BodyText"/>
        <w:rPr/>
      </w:pPr>
      <w:bookmarkStart w:id="77" w:name="X5ec58a7cff3b33ecfe266eed92282253cc9d590"/>
      <w:r>
        <w:rPr/>
        <w:t>Preparador: Matrícula 231020069 — preparação assistida por IA (Claude), conferida contra as fontes citadas — 24/10/2026. Revisão automatizada: RV-B04 e RV-B12.</w:t>
      </w:r>
      <w:bookmarkEnd w:id="77"/>
      <w:r>
        <w:br w:type="page"/>
      </w:r>
    </w:p>
    <w:p>
      <w:pPr>
        <w:pStyle w:val="Heading1"/>
        <w:rPr/>
      </w:pPr>
      <w:bookmarkStart w:id="78" w:name="__RefHeading___Toc31557_1660191972"/>
      <w:bookmarkEnd w:id="78"/>
      <w:r>
        <w:rPr/>
        <w:t>7. Conclusão integrada do trabalho (sem opinião profissional)</w:t>
      </w:r>
    </w:p>
    <w:p>
      <w:pPr>
        <w:pStyle w:val="BlockText"/>
        <w:rPr/>
      </w:pPr>
      <w:r>
        <w:rPr/>
        <w:t xml:space="preserve">Esta seção </w:t>
      </w:r>
      <w:r>
        <w:rPr>
          <w:b/>
          <w:bCs/>
        </w:rPr>
        <w:t>não é opinião de auditoria</w:t>
      </w:r>
      <w:r>
        <w:rPr/>
        <w:t xml:space="preserve"> e não fornece asseguração. Resume o que foi feito, o que a evidência pública sustenta e o que fica pendente.</w:t>
      </w:r>
    </w:p>
    <w:p>
      <w:pPr>
        <w:pStyle w:val="FirstParagraph"/>
        <w:rPr/>
      </w:pPr>
      <w:r>
        <w:rPr>
          <w:b/>
          <w:bCs/>
        </w:rPr>
        <w:t>7.1 O que foi feito</w:t>
      </w:r>
    </w:p>
    <w:p>
      <w:pPr>
        <w:pStyle w:val="Compact"/>
        <w:numPr>
          <w:ilvl w:val="0"/>
          <w:numId w:val="395"/>
        </w:numPr>
        <w:rPr/>
      </w:pPr>
      <w:r>
        <w:rPr/>
        <w:t>27 PTs nas NBC TA aplicáveis a 2025, com os 9 campos mínimos (mais o campo de requisito × orientação × julgamento), 6 programas por ciclo e o programa de consolidação (PG-CONS).</w:t>
      </w:r>
    </w:p>
    <w:p>
      <w:pPr>
        <w:pStyle w:val="Compact"/>
        <w:numPr>
          <w:ilvl w:val="0"/>
          <w:numId w:val="396"/>
        </w:numPr>
        <w:rPr/>
      </w:pPr>
      <w:r>
        <w:rPr/>
        <w:t>Toda informação cita documento e página. Cada procedimento tem modalidade: realizado com evidência pública, planejado por falta de acesso ou simulado.</w:t>
      </w:r>
    </w:p>
    <w:p>
      <w:pPr>
        <w:pStyle w:val="Compact"/>
        <w:numPr>
          <w:ilvl w:val="0"/>
          <w:numId w:val="397"/>
        </w:numPr>
        <w:rPr/>
      </w:pPr>
      <w:r>
        <w:rPr/>
        <w:t>Base sintética de 501.000 registros do ativo financeiro da concessão, conciliada ao saldo publicado (R$ 29.623.619 mil), com testes pré-registrados e congelados antes da consulta ao gabarito.</w:t>
      </w:r>
    </w:p>
    <w:p>
      <w:pPr>
        <w:pStyle w:val="FirstParagraph"/>
        <w:rPr/>
      </w:pPr>
      <w:r>
        <w:rPr>
          <w:b/>
          <w:bCs/>
        </w:rPr>
        <w:t>7.2 O que a evidência pública sustenta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85"/>
        <w:gridCol w:w="4986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Área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Consistência interna das DF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Demonstrações, notas, segmentos e saldos de abertura conciliados, sem diferença além de arredondamento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financeiro da concessão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Movimentação e saldos por distribuidora conciliados. VNR de 2025 acima da expectativa (+12,2%; Paulista) sem explicação pública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Litígios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Provisões e perdas possíveis conciliadas. IRRF Jantus: obrigação em 31/12/2025, reconhecimento a verificar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Partes relacionadas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Saldos da nota 31 conciliados com o balanço. Completude não verificável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Eventos subsequentes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Renovação das concessões (2026) tratada como evento novo, sem ajuste nas DF de 2025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Continuidade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CCL negativo, mas sem condição que, com a evidência pública, indique dúvida significativa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Distorções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Nenhuma distorção real sustentada. Hipóteses não acumuladas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Controles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Nenhuma deficiência significativa identificada; nenhum controle testado</w:t>
            </w:r>
          </w:p>
        </w:tc>
      </w:tr>
    </w:tbl>
    <w:p>
      <w:pPr>
        <w:pStyle w:val="BodyText"/>
        <w:rPr/>
      </w:pPr>
      <w:r>
        <w:rPr>
          <w:b/>
          <w:bCs/>
        </w:rPr>
        <w:t>7.3 O que a simulação demonstra (não é sobre a CPFL)</w:t>
      </w:r>
    </w:p>
    <w:p>
      <w:pPr>
        <w:pStyle w:val="Compact"/>
        <w:numPr>
          <w:ilvl w:val="0"/>
          <w:numId w:val="398"/>
        </w:numPr>
        <w:rPr/>
      </w:pPr>
      <w:r>
        <w:rPr/>
        <w:t>Testes integrais detectaram 100% das distorções de valor e existência inseridas e 99,6% das de categoria, sem falso positivo.</w:t>
      </w:r>
    </w:p>
    <w:p>
      <w:pPr>
        <w:pStyle w:val="Compact"/>
        <w:numPr>
          <w:ilvl w:val="0"/>
          <w:numId w:val="399"/>
        </w:numPr>
        <w:rPr/>
      </w:pPr>
      <w:r>
        <w:rPr/>
        <w:t>MUS ampliado: distorção conhecida + UML residual = R$ 303,2 milhões, dentro da tolerável. Margem estreita.</w:t>
      </w:r>
    </w:p>
    <w:p>
      <w:pPr>
        <w:pStyle w:val="Compact"/>
        <w:numPr>
          <w:ilvl w:val="0"/>
          <w:numId w:val="400"/>
        </w:numPr>
        <w:rPr/>
      </w:pPr>
      <w:r>
        <w:rPr>
          <w:b/>
          <w:bCs/>
        </w:rPr>
        <w:t>Não é teste cego independente</w:t>
      </w:r>
      <w:r>
        <w:rPr/>
        <w:t>: a mesma IA desenhou os erros e os testes.</w:t>
      </w:r>
    </w:p>
    <w:p>
      <w:pPr>
        <w:pStyle w:val="FirstParagraph"/>
        <w:rPr/>
      </w:pPr>
      <w:r>
        <w:rPr>
          <w:b/>
          <w:bCs/>
        </w:rPr>
        <w:t>7.4 O que impediria uma opinião numa auditoria real</w:t>
      </w:r>
    </w:p>
    <w:p>
      <w:pPr>
        <w:pStyle w:val="Compact"/>
        <w:numPr>
          <w:ilvl w:val="0"/>
          <w:numId w:val="401"/>
        </w:numPr>
        <w:rPr/>
      </w:pPr>
      <w:r>
        <w:rPr/>
        <w:t>Evidência insuficiente nos riscos significativos R02, R03 e R16, e parcial no R01 (PT 500).</w:t>
      </w:r>
    </w:p>
    <w:p>
      <w:pPr>
        <w:pStyle w:val="Compact"/>
        <w:numPr>
          <w:ilvl w:val="0"/>
          <w:numId w:val="402"/>
        </w:numPr>
        <w:rPr/>
      </w:pPr>
      <w:r>
        <w:rPr/>
        <w:t xml:space="preserve">Nenhum teste de controles, confirmação externa, indagação, inspeção física ou carta de representação. Todos estão desenhados e </w:t>
      </w:r>
      <w:r>
        <w:rPr>
          <w:b/>
          <w:bCs/>
        </w:rPr>
        <w:t>não executados</w:t>
      </w:r>
      <w:r>
        <w:rPr/>
        <w:t>.</w:t>
      </w:r>
    </w:p>
    <w:p>
      <w:pPr>
        <w:pStyle w:val="Compact"/>
        <w:numPr>
          <w:ilvl w:val="0"/>
          <w:numId w:val="403"/>
        </w:numPr>
        <w:rPr/>
      </w:pPr>
      <w:r>
        <w:rPr/>
        <w:t>Duas hipóteses sem resposta: o VNR da Paulista e o reconhecimento do IRRF Jantus.</w:t>
      </w:r>
    </w:p>
    <w:p>
      <w:pPr>
        <w:pStyle w:val="FirstParagraph"/>
        <w:rPr/>
      </w:pPr>
      <w:r>
        <w:rPr>
          <w:b/>
          <w:bCs/>
        </w:rPr>
        <w:t>7.5 Próximos passos que uma equipe com acesso faria primeiro</w:t>
      </w:r>
    </w:p>
    <w:p>
      <w:pPr>
        <w:pStyle w:val="Compact"/>
        <w:numPr>
          <w:ilvl w:val="0"/>
          <w:numId w:val="404"/>
        </w:numPr>
        <w:rPr/>
      </w:pPr>
      <w:r>
        <w:rPr/>
        <w:t>Obter o cálculo do VNR por distribuidora e a base de remuneração homologada.</w:t>
      </w:r>
    </w:p>
    <w:p>
      <w:pPr>
        <w:pStyle w:val="Compact"/>
        <w:numPr>
          <w:ilvl w:val="0"/>
          <w:numId w:val="405"/>
        </w:numPr>
        <w:rPr/>
      </w:pPr>
      <w:r>
        <w:rPr/>
        <w:t>Confirmar o lançamento do IRRF Jantus.</w:t>
      </w:r>
    </w:p>
    <w:p>
      <w:pPr>
        <w:pStyle w:val="Compact"/>
        <w:numPr>
          <w:ilvl w:val="0"/>
          <w:numId w:val="406"/>
        </w:numPr>
        <w:rPr/>
      </w:pPr>
      <w:r>
        <w:rPr/>
        <w:t>Testar lançamentos manuais (NBC TA 240) e controles de medição e faturamento.</w:t>
      </w:r>
    </w:p>
    <w:p>
      <w:pPr>
        <w:pStyle w:val="Compact"/>
        <w:numPr>
          <w:ilvl w:val="0"/>
          <w:numId w:val="407"/>
        </w:numPr>
        <w:rPr/>
      </w:pPr>
      <w:r>
        <w:rPr/>
        <w:t>Enviar as confirmações CF-01 a CF-08 e obter a carta de representação.</w:t>
      </w:r>
    </w:p>
    <w:p>
      <w:pPr>
        <w:pStyle w:val="FirstParagraph"/>
        <w:rPr/>
      </w:pPr>
      <w:r>
        <w:rPr>
          <w:b/>
          <w:bCs/>
        </w:rPr>
        <w:t>7.6 Ligação entre riscos, respostas, procedimentos e resultados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92"/>
        <w:gridCol w:w="2493"/>
        <w:gridCol w:w="2493"/>
        <w:gridCol w:w="2493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Resposta e PTs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Modalidade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 e limite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R01 Ativo financeiro da concessão (avaliação, classificação) — significativo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PG-ESTIM; PT 500, 520, 530, 540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[Pub] analíticos, conciliações e sensibilidade; [S] base sintética; [P] base homologada e laudo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Saldos conciliados (PDF × CVM × DFs individuais); VNR 2025 +12,2% sem explicação pública (DH-02); método demonstrado na simulação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R02 Ativo contratual — significativo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PG-ESTIM; PT 315, 330, 540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[Pub] saldos e PAA; [P] modelo e medições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Evidência insuficiente (PT 500)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R03 Receita não faturada — significativo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PG-REC; PT 330, 520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[Pub] saldo e PAA; [P] controles de medição e recálculo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Evidência insuficiente (PT 500)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R16 Burla de controles — significativo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240, 540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[P] teste de lançamentos; [Pub] indicador de viés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Evidência insuficiente; viés não concluído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R06 Dívidas e covenants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PG-PASS; PT 505, 570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[Pub] notas 18–19 e release; [S] minutas CF-04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Covenant divulgado 2,30x × 3,75x, sem recálculo contratual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R07 Provisões e contingências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PG-PASS; PT 501, 560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[Pub] movimentação; [S] carta jurídica não enviada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Conciliado; IRRF Jantus a verificar (DH-01)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R13 Partes relacionadas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550, 505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[Pub] nota 31 × BP; [P] atas e confirmações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Saldos conciliados; completude não verificada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R14 Consolidação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PG-CONS; PT 600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[Pub] segmentos e CVM; [P] eliminações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Conciliações sem diferença; eliminações não testadas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R17 Continuidade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570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[Pub] liquidez, vencimentos e captações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Sem dúvida significativa identificada com evidência pública</w:t>
            </w:r>
            <w:bookmarkStart w:id="79" w:name="Xfa94ad627953905e63da20fc4cd439b4a8ba7e7"/>
            <w:bookmarkEnd w:id="79"/>
          </w:p>
        </w:tc>
      </w:tr>
    </w:tbl>
    <w:p>
      <w:pPr>
        <w:pStyle w:val="Heading1"/>
        <w:rPr/>
      </w:pPr>
      <w:r>
        <w:br w:type="page"/>
      </w:r>
      <w:bookmarkStart w:id="80" w:name="__RefHeading___Toc31559_1660191972"/>
      <w:bookmarkEnd w:id="80"/>
      <w:r>
        <w:rPr/>
        <w:t>8. Base sintética: projeto (Bloco 06) e geração (Bloco 07)</w:t>
      </w:r>
    </w:p>
    <w:p>
      <w:pPr>
        <w:pStyle w:val="FirstParagraph"/>
        <w:rPr/>
      </w:pPr>
      <w:r>
        <w:rPr/>
        <w:t xml:space="preserve">Base </w:t>
      </w:r>
      <w:r>
        <w:rPr>
          <w:b/>
          <w:bCs/>
        </w:rPr>
        <w:t>SINTÉTICA</w:t>
      </w:r>
      <w:r>
        <w:rPr/>
        <w:t xml:space="preserve"> para fins didáticos [S]. Os registros </w:t>
      </w:r>
      <w:r>
        <w:rPr>
          <w:b/>
          <w:bCs/>
        </w:rPr>
        <w:t>não</w:t>
      </w:r>
      <w:r>
        <w:rPr/>
        <w:t xml:space="preserve"> são dados internos da CPFL. Só o saldo total, os saldos por distribuidora e a natureza da conta são reais (DF25 p. 34/2 e 68/36; DFs individuais, notas 11). Os testes sobre a base demonstram método, não erros reais da companhia.</w:t>
      </w:r>
    </w:p>
    <w:p>
      <w:pPr>
        <w:pStyle w:val="Heading2"/>
        <w:rPr/>
      </w:pPr>
      <w:bookmarkStart w:id="81" w:name="__RefHeading___Toc31561_1660191972"/>
      <w:bookmarkStart w:id="82" w:name="Xd9283d0af12feaf0204430472904895476c949e"/>
      <w:bookmarkEnd w:id="81"/>
      <w:r>
        <w:rPr/>
        <w:t>8.1 Projeto da base (Bloco 06) — aprovado pelo aluno em 23/10/2026 (D-B06-01 e D-B06-02)</w:t>
      </w:r>
    </w:p>
    <w:p>
      <w:pPr>
        <w:pStyle w:val="FirstParagraph"/>
        <w:rPr/>
      </w:pPr>
      <w:r>
        <w:rPr>
          <w:i/>
          <w:iCs/>
        </w:rPr>
        <w:t>Documento do Bloco 06 reproduzido sem alteração de conteúdo; a decisão nele pedida foi aprovada pelo aluno em 23/10/2026 (D-B06-01 e D-B06-02).</w:t>
      </w:r>
    </w:p>
    <w:p>
      <w:pPr>
        <w:pStyle w:val="BlockText"/>
        <w:rPr/>
      </w:pPr>
      <w:r>
        <w:rPr>
          <w:b/>
          <w:bCs/>
        </w:rPr>
        <w:t>Aviso.</w:t>
      </w:r>
      <w:r>
        <w:rPr/>
        <w:t xml:space="preserve"> Trabalho acadêmico. A base é </w:t>
      </w:r>
      <w:r>
        <w:rPr>
          <w:b/>
          <w:bCs/>
        </w:rPr>
        <w:t>inteiramente sintética</w:t>
      </w:r>
      <w:r>
        <w:rPr/>
        <w:t xml:space="preserve">. Nenhuma linha é dado interno da CPFL Energia S.A. São reais apenas os saldos publicados e a natureza da conta, sempre com a fonte indicada. Não houve acesso a sistemas, contato com a companhia ou confirmação externa. Documento preparado com apoio de IA. A mesma IA conhece a lógica de geração e de inserção de erros, portanto os testes do Bloco 08 </w:t>
      </w:r>
      <w:r>
        <w:rPr>
          <w:b/>
          <w:bCs/>
        </w:rPr>
        <w:t>não</w:t>
      </w:r>
      <w:r>
        <w:rPr/>
        <w:t xml:space="preserve"> serão apresentados como teste cego independente.</w:t>
      </w:r>
    </w:p>
    <w:p>
      <w:pPr>
        <w:pStyle w:val="Heading3"/>
        <w:rPr/>
      </w:pPr>
      <w:bookmarkStart w:id="83" w:name="objetivo-e-situação"/>
      <w:r>
        <w:rPr/>
        <w:t>1. Objetivo e situação</w:t>
      </w:r>
    </w:p>
    <w:p>
      <w:pPr>
        <w:pStyle w:val="FirstParagraph"/>
        <w:rPr/>
      </w:pPr>
      <w:r>
        <w:rPr/>
        <w:t xml:space="preserve">Este memorando documenta o projeto da base </w:t>
      </w:r>
      <w:r>
        <w:rPr>
          <w:b/>
          <w:bCs/>
        </w:rPr>
        <w:t>antes</w:t>
      </w:r>
      <w:r>
        <w:rPr/>
        <w:t xml:space="preserve"> da geração definitiva (Bloco 07). Ele contém:</w:t>
      </w:r>
    </w:p>
    <w:p>
      <w:pPr>
        <w:pStyle w:val="Compact"/>
        <w:numPr>
          <w:ilvl w:val="0"/>
          <w:numId w:val="408"/>
        </w:numPr>
        <w:rPr/>
      </w:pPr>
      <w:r>
        <w:rPr/>
        <w:t>a escolha da conta;</w:t>
      </w:r>
    </w:p>
    <w:p>
      <w:pPr>
        <w:pStyle w:val="Compact"/>
        <w:numPr>
          <w:ilvl w:val="0"/>
          <w:numId w:val="409"/>
        </w:numPr>
        <w:rPr/>
      </w:pPr>
      <w:r>
        <w:rPr/>
        <w:t>a unidade de registro, os campos e o dicionário preliminar;</w:t>
      </w:r>
    </w:p>
    <w:p>
      <w:pPr>
        <w:pStyle w:val="Compact"/>
        <w:numPr>
          <w:ilvl w:val="0"/>
          <w:numId w:val="410"/>
        </w:numPr>
        <w:rPr/>
      </w:pPr>
      <w:r>
        <w:rPr/>
        <w:t>as premissas;</w:t>
      </w:r>
    </w:p>
    <w:p>
      <w:pPr>
        <w:pStyle w:val="Compact"/>
        <w:numPr>
          <w:ilvl w:val="0"/>
          <w:numId w:val="411"/>
        </w:numPr>
        <w:rPr/>
      </w:pPr>
      <w:r>
        <w:rPr/>
        <w:t>os planos de conciliação e de erros;</w:t>
      </w:r>
    </w:p>
    <w:p>
      <w:pPr>
        <w:pStyle w:val="Compact"/>
        <w:numPr>
          <w:ilvl w:val="0"/>
          <w:numId w:val="412"/>
        </w:numPr>
        <w:rPr/>
      </w:pPr>
      <w:r>
        <w:rPr/>
        <w:t>os testes previstos;</w:t>
      </w:r>
    </w:p>
    <w:p>
      <w:pPr>
        <w:pStyle w:val="Compact"/>
        <w:numPr>
          <w:ilvl w:val="0"/>
          <w:numId w:val="413"/>
        </w:numPr>
        <w:rPr/>
      </w:pPr>
      <w:r>
        <w:rPr/>
        <w:t>uma prévia dos registros.</w:t>
      </w:r>
    </w:p>
    <w:p>
      <w:pPr>
        <w:pStyle w:val="FirstParagraph"/>
        <w:rPr/>
      </w:pPr>
      <w:bookmarkStart w:id="84" w:name="objetivo-e-situação"/>
      <w:r>
        <w:rPr/>
        <w:t>Ele revisa a base da etapa 1 (21/10/2026). Por isso, depende de validação do aluno, que altera a decisão D-B01-03.</w:t>
      </w:r>
      <w:bookmarkEnd w:id="84"/>
    </w:p>
    <w:p>
      <w:pPr>
        <w:pStyle w:val="Heading3"/>
        <w:rPr/>
      </w:pPr>
      <w:bookmarkStart w:id="85" w:name="escolha-da-conta"/>
      <w:r>
        <w:rPr/>
        <w:t>2. Escolha da conta</w:t>
      </w:r>
    </w:p>
    <w:p>
      <w:pPr>
        <w:pStyle w:val="Heading4"/>
        <w:rPr/>
      </w:pPr>
      <w:bookmarkStart w:id="86" w:name="X774f7c2c55e462ff682720d515b15e62cca4eac"/>
      <w:r>
        <w:rPr/>
        <w:t>2.1 Comparação dos maiores saldos do ativo consolidado em 31/12/2025 (R$ mil)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9"/>
        <w:gridCol w:w="1760"/>
        <w:gridCol w:w="2346"/>
        <w:gridCol w:w="2346"/>
        <w:gridCol w:w="1761"/>
      </w:tblGrid>
      <w:tr>
        <w:trPr>
          <w:tblHeader w:val="true"/>
        </w:trPr>
        <w:tc>
          <w:tcPr>
            <w:tcW w:w="175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Conta (BP consolidado)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2025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% do ativo total</w:t>
            </w:r>
          </w:p>
        </w:tc>
        <w:tc>
          <w:tcPr>
            <w:tcW w:w="1761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</w:t>
            </w:r>
          </w:p>
        </w:tc>
      </w:tr>
      <w:tr>
        <w:trPr/>
        <w:tc>
          <w:tcPr>
            <w:tcW w:w="1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Ativo financeiro da concessão (não circulante)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11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29.623.619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36,5%</w:t>
            </w:r>
          </w:p>
        </w:tc>
        <w:tc>
          <w:tcPr>
            <w:tcW w:w="1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física 34 (impressa 2)</w:t>
            </w:r>
          </w:p>
        </w:tc>
      </w:tr>
      <w:tr>
        <w:trPr/>
        <w:tc>
          <w:tcPr>
            <w:tcW w:w="1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contratual (circulante 872.283 + não circulante 11.987.240)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15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12.859.523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15,9%</w:t>
            </w:r>
          </w:p>
        </w:tc>
        <w:tc>
          <w:tcPr>
            <w:tcW w:w="1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</w:t>
            </w:r>
          </w:p>
        </w:tc>
      </w:tr>
      <w:tr>
        <w:trPr/>
        <w:tc>
          <w:tcPr>
            <w:tcW w:w="1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Imobilizado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14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9.375.879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11,6%</w:t>
            </w:r>
          </w:p>
        </w:tc>
        <w:tc>
          <w:tcPr>
            <w:tcW w:w="1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</w:t>
            </w:r>
          </w:p>
        </w:tc>
      </w:tr>
      <w:tr>
        <w:trPr/>
        <w:tc>
          <w:tcPr>
            <w:tcW w:w="1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Intangível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6.892.839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8,5%</w:t>
            </w:r>
          </w:p>
        </w:tc>
        <w:tc>
          <w:tcPr>
            <w:tcW w:w="1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</w:t>
            </w:r>
          </w:p>
        </w:tc>
      </w:tr>
      <w:tr>
        <w:trPr/>
        <w:tc>
          <w:tcPr>
            <w:tcW w:w="1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Consumidores, concessionárias e permissionárias (circ. + não circ.)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6.377.562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7,9%</w:t>
            </w:r>
          </w:p>
        </w:tc>
        <w:tc>
          <w:tcPr>
            <w:tcW w:w="1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</w:t>
            </w:r>
          </w:p>
        </w:tc>
      </w:tr>
      <w:tr>
        <w:trPr/>
        <w:tc>
          <w:tcPr>
            <w:tcW w:w="1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PIS/COFINS a compensar sobre ICMS (circ. + não circ.)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4.096.542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5,1%</w:t>
            </w:r>
          </w:p>
        </w:tc>
        <w:tc>
          <w:tcPr>
            <w:tcW w:w="1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</w:t>
            </w:r>
          </w:p>
        </w:tc>
      </w:tr>
      <w:tr>
        <w:trPr/>
        <w:tc>
          <w:tcPr>
            <w:tcW w:w="1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Ativo total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81.099.930</w:t>
            </w:r>
          </w:p>
        </w:tc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100%</w:t>
            </w:r>
          </w:p>
        </w:tc>
        <w:tc>
          <w:tcPr>
            <w:tcW w:w="1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</w:t>
            </w:r>
          </w:p>
        </w:tc>
      </w:tr>
    </w:tbl>
    <w:p>
      <w:pPr>
        <w:pStyle w:val="BodyText"/>
        <w:rPr/>
      </w:pPr>
      <w:r>
        <w:rPr>
          <w:b/>
          <w:bCs/>
        </w:rPr>
        <w:t>Interpretação recomendada.</w:t>
      </w:r>
      <w:r>
        <w:rPr/>
        <w:t xml:space="preserve"> O ativo financeiro da concessão é uma linha única do balanço, toda não circulante. Mesmo somando circulante e não circulante, o ativo contratual tem menos da metade desse saldo. Portanto, não há ambiguidade de agrupamento que mude a escolha. A conta foi aprovada em 21/10/2026 (D-ETAPA-01).</w:t>
      </w:r>
      <w:bookmarkEnd w:id="86"/>
    </w:p>
    <w:p>
      <w:pPr>
        <w:pStyle w:val="Heading4"/>
        <w:rPr/>
      </w:pPr>
      <w:r>
        <w:rPr/>
        <w:t>2.2 Magnitude, materialidade, risco e facilidade de simulação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Critério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Magnitude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Maior saldo do ativo: 36,5% do total e 45,9% do não circulante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p. 34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Materialidade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saldo equivale a 73 vezes a materialidade global (404.562,30)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320; planilha B04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Risco significativo R01. Principal assunto de auditoria nº 3 da PwC. Mensuração a valor justo de nível 3 (VNR + IPCA)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PT 315; DF25 p. 29 (PAA 3) e p. 59 (nota 4)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Facilidade de simulação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Não foi critério de escolha. A conta é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difícil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de simular, porque o valor depende da base de remuneração regulatória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  <w:bookmarkStart w:id="87" w:name="X99a65009ed4e39a3b40824a06100c38bb1a4765"/>
            <w:bookmarkEnd w:id="87"/>
          </w:p>
        </w:tc>
      </w:tr>
    </w:tbl>
    <w:p>
      <w:pPr>
        <w:pStyle w:val="Heading4"/>
        <w:rPr/>
      </w:pPr>
      <w:r>
        <w:rPr/>
        <w:t>2.3 Natureza contábil e composição (nota 11)</w:t>
      </w:r>
    </w:p>
    <w:p>
      <w:pPr>
        <w:pStyle w:val="Compact"/>
        <w:numPr>
          <w:ilvl w:val="0"/>
          <w:numId w:val="414"/>
        </w:numPr>
        <w:rPr/>
      </w:pPr>
      <w:r>
        <w:rPr>
          <w:b/>
          <w:bCs/>
        </w:rPr>
        <w:t>O que é.</w:t>
      </w:r>
      <w:r>
        <w:rPr/>
        <w:t xml:space="preserve"> É o direito, previsto nos contratos de concessão </w:t>
      </w:r>
      <w:r>
        <w:rPr>
          <w:b/>
          <w:bCs/>
        </w:rPr>
        <w:t>das distribuidoras</w:t>
      </w:r>
      <w:r>
        <w:rPr/>
        <w:t xml:space="preserve">, de receber caixa por indenização na reversão dos bens ao poder concedente. É mensurado a valor justo por meio do resultado: o VNR é atualizado pelo IPCA entre as revisões tarifárias (DF25 nota 11 p. 68; nota 4 p. 59). Não é imobilizado societário. Os bens físicos da concessão estão na infraestrutura da distribuidora, e o ativo financeiro é a parcela </w:t>
      </w:r>
      <w:r>
        <w:rPr>
          <w:b/>
          <w:bCs/>
        </w:rPr>
        <w:t>residual, não amortizada até o fim da concessão</w:t>
      </w:r>
      <w:r>
        <w:rPr/>
        <w:t>, a ser indenizada.</w:t>
      </w:r>
    </w:p>
    <w:p>
      <w:pPr>
        <w:pStyle w:val="Compact"/>
        <w:numPr>
          <w:ilvl w:val="0"/>
          <w:numId w:val="415"/>
        </w:numPr>
        <w:rPr/>
      </w:pPr>
      <w:r>
        <w:rPr>
          <w:b/>
          <w:bCs/>
        </w:rPr>
        <w:t>Movimentação de 2025.</w:t>
      </w:r>
      <w:r>
        <w:rPr/>
        <w:t xml:space="preserve"> Saldo inicial 25.209.768 + ajuste ao valor justo 1.285.173 + transferência do ativo contratual 3.368.915 − transferência para o intangível 12.576 − baixas 227.661 = </w:t>
      </w:r>
      <w:r>
        <w:rPr>
          <w:b/>
          <w:bCs/>
        </w:rPr>
        <w:t>29.623.619</w:t>
      </w:r>
      <w:r>
        <w:rPr/>
        <w:t xml:space="preserve"> (DF25 nota 11 p. 68). Já foi reexecutada no B02 (conciliação CC05).</w:t>
      </w:r>
    </w:p>
    <w:p>
      <w:pPr>
        <w:pStyle w:val="Compact"/>
        <w:numPr>
          <w:ilvl w:val="0"/>
          <w:numId w:val="416"/>
        </w:numPr>
        <w:rPr/>
      </w:pPr>
      <w:r>
        <w:rPr>
          <w:b/>
          <w:bCs/>
        </w:rPr>
        <w:t>Composição por distribuidora.</w:t>
      </w:r>
      <w:r>
        <w:rPr/>
        <w:t xml:space="preserve"> É </w:t>
      </w:r>
      <w:r>
        <w:rPr>
          <w:b/>
          <w:bCs/>
        </w:rPr>
        <w:t>fato novo deste bloco</w:t>
      </w:r>
      <w:r>
        <w:rPr/>
        <w:t>, obtido nas DFs individuais disponíveis no Drive (pasta 06):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6"/>
        <w:gridCol w:w="2849"/>
        <w:gridCol w:w="2849"/>
        <w:gridCol w:w="2137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Distribuidora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 31/12/2025 (R$ mil)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%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Fonte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12.617.237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42,6%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DFs Anuais Completas CPFL Paulista, nota 11, p. impressa 29 (física 39)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RGE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12.734.234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43,0%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DFs Anuais Completas RGE, nota 11, p. impressa 31 (física 41)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Piratininga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3.836.600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13,0%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DFs Anuais Completas CPFL Piratininga, nota 11, p. impressa 29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Santa Cruz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435.548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1,5%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Derivado por diferença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(sem DF própria no Drive)</w:t>
            </w:r>
          </w:p>
        </w:tc>
      </w:tr>
      <w:tr>
        <w:trPr/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Consolidado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29.623.619</w:t>
            </w:r>
          </w:p>
        </w:tc>
        <w:tc>
          <w:tcPr>
            <w:tcW w:w="2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100%</w:t>
            </w:r>
          </w:p>
        </w:tc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nota 11 p. 68</w:t>
            </w:r>
          </w:p>
        </w:tc>
      </w:tr>
    </w:tbl>
    <w:p>
      <w:pPr>
        <w:pStyle w:val="BodyText"/>
        <w:rPr/>
      </w:pPr>
      <w:r>
        <w:rPr>
          <w:b/>
          <w:bCs/>
        </w:rPr>
        <w:t>Prova da Santa Cruz.</w:t>
      </w:r>
      <w:r>
        <w:rPr/>
        <w:t xml:space="preserve"> Reconstruí o saldo pela movimentação: saldo de 2024 por diferença (249.934) + VNR 9.193 + transferências 178.783 − intangível 989 − baixas 1.374. O resultado é 435.547, diferença de R$ 1 mil (arredondamento, nota 2.4). A conta não tem operações entre empresas do grupo, então não se esperam eliminações de consolidação. Essa premissa está registrada.</w:t>
      </w:r>
    </w:p>
    <w:p>
      <w:pPr>
        <w:pStyle w:val="BodyText"/>
        <w:rPr/>
      </w:pPr>
      <w:r>
        <w:rPr>
          <w:b/>
          <w:bCs/>
        </w:rPr>
        <w:t>Consequência.</w:t>
      </w:r>
      <w:r>
        <w:rPr/>
        <w:t xml:space="preserve"> A base da etapa 1 distribuía os bens por empresa em proporções </w:t>
      </w:r>
      <w:r>
        <w:rPr>
          <w:b/>
          <w:bCs/>
        </w:rPr>
        <w:t>hipotéticas</w:t>
      </w:r>
      <w:r>
        <w:rPr/>
        <w:t xml:space="preserve"> (40/30/25/5%). As proporções reais são 42,6/43,0/13,0/1,5%. A versão 2 passa a conciliar </w:t>
      </w:r>
      <w:r>
        <w:rPr>
          <w:b/>
          <w:bCs/>
        </w:rPr>
        <w:t>cada distribuidora</w:t>
      </w:r>
      <w:r>
        <w:rPr/>
        <w:t xml:space="preserve"> com o saldo publicado.</w:t>
      </w:r>
      <w:bookmarkEnd w:id="85"/>
    </w:p>
    <w:p>
      <w:pPr>
        <w:pStyle w:val="Heading3"/>
        <w:rPr/>
      </w:pPr>
      <w:bookmarkStart w:id="88" w:name="população-proposta-e-granularidade"/>
      <w:r>
        <w:rPr/>
        <w:t>3. População proposta e granularidade</w:t>
      </w:r>
    </w:p>
    <w:p>
      <w:pPr>
        <w:pStyle w:val="Compact"/>
        <w:numPr>
          <w:ilvl w:val="0"/>
          <w:numId w:val="417"/>
        </w:numPr>
        <w:rPr/>
      </w:pPr>
      <w:r>
        <w:rPr>
          <w:b/>
          <w:bCs/>
        </w:rPr>
        <w:t>O que cada linha representa:</w:t>
      </w:r>
      <w:r>
        <w:rPr/>
        <w:t xml:space="preserve"> uma </w:t>
      </w:r>
      <w:r>
        <w:rPr>
          <w:b/>
          <w:bCs/>
        </w:rPr>
        <w:t>unidade cadastral</w:t>
      </w:r>
      <w:r>
        <w:rPr/>
        <w:t xml:space="preserve"> fictícia de bem de distribuição (trecho de rede, transformador, conjunto de postes, medidor, subestação), cujo </w:t>
      </w:r>
      <w:r>
        <w:rPr>
          <w:b/>
          <w:bCs/>
        </w:rPr>
        <w:t>valor residual atualizado</w:t>
      </w:r>
      <w:r>
        <w:rPr/>
        <w:t xml:space="preserve"> compõe o direito de indenização em 31/12/2025.</w:t>
      </w:r>
    </w:p>
    <w:p>
      <w:pPr>
        <w:pStyle w:val="Compact"/>
        <w:numPr>
          <w:ilvl w:val="0"/>
          <w:numId w:val="418"/>
        </w:numPr>
        <w:rPr/>
      </w:pPr>
      <w:r>
        <w:rPr>
          <w:b/>
          <w:bCs/>
        </w:rPr>
        <w:t>Plausibilidade dos 500.000 registros.</w:t>
      </w:r>
      <w:r>
        <w:rPr/>
        <w:t xml:space="preserve"> As quatro distribuidoras atendem milhões de unidades consumidoras e mantêm cadastros de ativos com milhões de itens. Quinhentos mil itens agregados é uma ordem de grandeza modesta. A quantidade real não é divulgada, por isso o número de linhas é premissa arbitrada.</w:t>
      </w:r>
    </w:p>
    <w:p>
      <w:pPr>
        <w:pStyle w:val="Compact"/>
        <w:numPr>
          <w:ilvl w:val="0"/>
          <w:numId w:val="419"/>
        </w:numPr>
        <w:rPr/>
      </w:pPr>
      <w:r>
        <w:rPr>
          <w:b/>
          <w:bCs/>
        </w:rPr>
        <w:t>O que a base não faz:</w:t>
      </w:r>
    </w:p>
    <w:p>
      <w:pPr>
        <w:pStyle w:val="Compact"/>
        <w:numPr>
          <w:ilvl w:val="1"/>
          <w:numId w:val="420"/>
        </w:numPr>
        <w:rPr/>
      </w:pPr>
      <w:r>
        <w:rPr/>
        <w:t>não cria concessões ou contratos: são 4 distribuidoras, que são fato;</w:t>
      </w:r>
    </w:p>
    <w:p>
      <w:pPr>
        <w:pStyle w:val="Compact"/>
        <w:numPr>
          <w:ilvl w:val="1"/>
          <w:numId w:val="421"/>
        </w:numPr>
        <w:rPr/>
      </w:pPr>
      <w:r>
        <w:rPr/>
        <w:t>não fraciona o saldo de forma arbitrária: cada valor nasce de atributos do bem (VNR, atualização, residual);</w:t>
      </w:r>
    </w:p>
    <w:p>
      <w:pPr>
        <w:pStyle w:val="Compact"/>
        <w:numPr>
          <w:ilvl w:val="1"/>
          <w:numId w:val="422"/>
        </w:numPr>
        <w:rPr/>
      </w:pPr>
      <w:r>
        <w:rPr/>
        <w:t>não repete registros para atingir a contagem.</w:t>
      </w:r>
    </w:p>
    <w:p>
      <w:pPr>
        <w:pStyle w:val="Compact"/>
        <w:numPr>
          <w:ilvl w:val="0"/>
          <w:numId w:val="423"/>
        </w:numPr>
        <w:rPr/>
      </w:pPr>
      <w:r>
        <w:rPr>
          <w:b/>
          <w:bCs/>
        </w:rPr>
        <w:t>Duas versões da população:</w:t>
      </w:r>
    </w:p>
    <w:p>
      <w:pPr>
        <w:pStyle w:val="Compact"/>
        <w:numPr>
          <w:ilvl w:val="1"/>
          <w:numId w:val="424"/>
        </w:numPr>
        <w:rPr/>
      </w:pPr>
      <w:r>
        <w:rPr>
          <w:b/>
          <w:bCs/>
        </w:rPr>
        <w:t>referência (sem erros):</w:t>
      </w:r>
      <w:r>
        <w:rPr/>
        <w:t xml:space="preserve"> 500.000 bens;</w:t>
      </w:r>
    </w:p>
    <w:p>
      <w:pPr>
        <w:pStyle w:val="Compact"/>
        <w:numPr>
          <w:ilvl w:val="1"/>
          <w:numId w:val="425"/>
        </w:numPr>
        <w:rPr/>
      </w:pPr>
      <w:r>
        <w:rPr>
          <w:b/>
          <w:bCs/>
        </w:rPr>
        <w:t>registrada (com erros):</w:t>
      </w:r>
      <w:r>
        <w:rPr/>
        <w:t xml:space="preserve"> os mesmos 500.000 + 1.000 linhas duplicadas = </w:t>
      </w:r>
      <w:r>
        <w:rPr>
          <w:b/>
          <w:bCs/>
        </w:rPr>
        <w:t>501.000 linhas</w:t>
      </w:r>
      <w:r>
        <w:rPr/>
        <w:t>. É a base usada nos testes.</w:t>
      </w:r>
    </w:p>
    <w:p>
      <w:pPr>
        <w:pStyle w:val="Compact"/>
        <w:numPr>
          <w:ilvl w:val="0"/>
          <w:numId w:val="426"/>
        </w:numPr>
        <w:rPr/>
      </w:pPr>
      <w:r>
        <w:rPr>
          <w:b/>
          <w:bCs/>
        </w:rPr>
        <w:t>Estoque, não fluxo.</w:t>
      </w:r>
      <w:r>
        <w:rPr/>
        <w:t xml:space="preserve"> O campo </w:t>
      </w:r>
      <w:r>
        <w:rPr>
          <w:rStyle w:val="VerbatimChar"/>
        </w:rPr>
        <w:t>valor_registrado_rs</w:t>
      </w:r>
      <w:r>
        <w:rPr/>
        <w:t xml:space="preserve"> é </w:t>
      </w:r>
      <w:r>
        <w:rPr>
          <w:b/>
          <w:bCs/>
        </w:rPr>
        <w:t>saldo em 31/12/2025</w:t>
      </w:r>
      <w:r>
        <w:rPr/>
        <w:t>. A movimentação do ano (VNR, transferências, baixas) não está na base e não deve ser somada a ela.</w:t>
      </w:r>
      <w:bookmarkEnd w:id="88"/>
    </w:p>
    <w:p>
      <w:pPr>
        <w:pStyle w:val="Heading3"/>
        <w:rPr/>
      </w:pPr>
      <w:bookmarkStart w:id="89" w:name="especificação-e-dicionário-preliminar"/>
      <w:r>
        <w:rPr/>
        <w:t>4. Especificação e dicionário preliminar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92"/>
        <w:gridCol w:w="2493"/>
        <w:gridCol w:w="2493"/>
        <w:gridCol w:w="2493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Tipo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Domínio / regra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Natureza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id_registro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AFC-SIM-0000001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… </w:t>
            </w: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AFC-SIM-0501000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; único. Atribuído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após embaralhar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, sem revelar origem nem erro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id_bem_tecnico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BEM-SIM-nnnnnnn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. Deveria ser único; repetição = indício de duplicidade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distribuidora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Paulista, RGE, CPFL Piratininga, CPFL Santa Cruz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Nome real; alocação sintética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categoria_cadastrada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 categorias (tabela abaixo)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data_incorporacao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 ISO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 max(1985; 2025 − vida útil + 1) até 2025, dia 1–28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vnr_base_simulado_rs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decimal, 2 casas, R$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VNR unitário da categoria × U(0,35; 1,75)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Sintético; não é o VNR da ANEEL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fator_atualizacao_simulado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decimal, 4 casas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U(1,00; 1,30), substituto didático do IPCA acumulado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Sintético; não é índice real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fator_residual_simulado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decimal, 4 casas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1 − idade/vida útil (mínimo 0,0100)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Dependência econômica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com a data e a categoria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status_cadastral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ou BAIXADO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data_baixa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 ISO ou vazio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Preenchida só quando BAIXADO (vazio justificado)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valor_registrado_rs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decimal, 2 casas, R$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VNR × fator × residual × fator de escala da distribuidora, arredondado ao centavo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 (estoque)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data_base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2025-12-31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origem_dados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SINTETICO em todas as linhas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Rótulo obrigatório</w:t>
            </w:r>
          </w:p>
        </w:tc>
      </w:tr>
    </w:tbl>
    <w:p>
      <w:pPr>
        <w:pStyle w:val="BodyText"/>
        <w:rPr/>
      </w:pPr>
      <w:r>
        <w:rPr>
          <w:b/>
          <w:bCs/>
        </w:rPr>
        <w:t>Categorias (todas premissas arbitradas, sem fonte regulatória):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94"/>
        <w:gridCol w:w="2659"/>
        <w:gridCol w:w="2659"/>
        <w:gridCol w:w="2659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Categoria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Peso nas linhas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VNR unitário base (R$)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Vida útil (anos)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Redes de distribuição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27%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52.000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30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Transformadores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14%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98.000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Postes e estruturas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32%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19.000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Medidores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24%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5.800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15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Subestações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3%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1.250.000</w:t>
            </w:r>
          </w:p>
        </w:tc>
        <w:tc>
          <w:tcPr>
            <w:tcW w:w="2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42</w:t>
            </w:r>
          </w:p>
        </w:tc>
      </w:tr>
    </w:tbl>
    <w:p>
      <w:pPr>
        <w:pStyle w:val="BodyText"/>
        <w:rPr/>
      </w:pPr>
      <w:r>
        <w:rPr/>
        <w:t xml:space="preserve">Pesos e VNR unitários foram mantidos da etapa 1, já aprovada. As vidas úteis são </w:t>
      </w:r>
      <w:r>
        <w:rPr>
          <w:b/>
          <w:bCs/>
        </w:rPr>
        <w:t>novas</w:t>
      </w:r>
      <w:r>
        <w:rPr/>
        <w:t xml:space="preserve">: são arbitradas, distintas entre si e </w:t>
      </w:r>
      <w:r>
        <w:rPr>
          <w:b/>
          <w:bCs/>
        </w:rPr>
        <w:t>não</w:t>
      </w:r>
      <w:r>
        <w:rPr/>
        <w:t xml:space="preserve"> correspondem às taxas da ANEEL. A distribuição de linhas por distribuidora é proporcional ao saldo publicado (Paulista 212.959; RGE 214.934; Piratininga 64.756; Santa Cruz 7.351).</w:t>
      </w:r>
    </w:p>
    <w:p>
      <w:pPr>
        <w:pStyle w:val="BodyText"/>
        <w:rPr/>
      </w:pPr>
      <w:r>
        <w:rPr>
          <w:b/>
          <w:bCs/>
        </w:rPr>
        <w:t>Chaves e relações.</w:t>
      </w:r>
    </w:p>
    <w:p>
      <w:pPr>
        <w:pStyle w:val="Compact"/>
        <w:numPr>
          <w:ilvl w:val="0"/>
          <w:numId w:val="427"/>
        </w:numPr>
        <w:rPr/>
      </w:pPr>
      <w:r>
        <w:rPr>
          <w:rStyle w:val="VerbatimChar"/>
        </w:rPr>
        <w:t>id_registro</w:t>
      </w:r>
      <w:r>
        <w:rPr/>
        <w:t xml:space="preserve"> é a chave primária.</w:t>
      </w:r>
    </w:p>
    <w:p>
      <w:pPr>
        <w:pStyle w:val="Compact"/>
        <w:numPr>
          <w:ilvl w:val="0"/>
          <w:numId w:val="428"/>
        </w:numPr>
        <w:rPr/>
      </w:pPr>
      <w:r>
        <w:rPr>
          <w:rStyle w:val="VerbatimChar"/>
        </w:rPr>
        <w:t>id_bem_tecnico</w:t>
      </w:r>
      <w:r>
        <w:rPr/>
        <w:t xml:space="preserve"> liga linhas que representam o mesmo bem.</w:t>
      </w:r>
    </w:p>
    <w:p>
      <w:pPr>
        <w:pStyle w:val="Compact"/>
        <w:numPr>
          <w:ilvl w:val="0"/>
          <w:numId w:val="429"/>
        </w:numPr>
        <w:rPr/>
      </w:pPr>
      <w:r>
        <w:rPr/>
        <w:t>A categoria determina a vida útil e o VNR unitário esperado.</w:t>
      </w:r>
    </w:p>
    <w:p>
      <w:pPr>
        <w:pStyle w:val="Compact"/>
        <w:numPr>
          <w:ilvl w:val="0"/>
          <w:numId w:val="430"/>
        </w:numPr>
        <w:rPr/>
      </w:pPr>
      <w:r>
        <w:rPr/>
        <w:t>O fator residual deve ser coerente com a data de incorporação e a vida útil.</w:t>
      </w:r>
    </w:p>
    <w:p>
      <w:pPr>
        <w:pStyle w:val="FirstParagraph"/>
        <w:rPr/>
      </w:pPr>
      <w:r>
        <w:rPr>
          <w:b/>
          <w:bCs/>
        </w:rPr>
        <w:t>Unicidade e integridade.</w:t>
      </w:r>
      <w:r>
        <w:rPr/>
        <w:t xml:space="preserve"> Serão verificadas no Bloco 07:</w:t>
      </w:r>
    </w:p>
    <w:p>
      <w:pPr>
        <w:pStyle w:val="Compact"/>
        <w:numPr>
          <w:ilvl w:val="0"/>
          <w:numId w:val="431"/>
        </w:numPr>
        <w:rPr/>
      </w:pPr>
      <w:r>
        <w:rPr/>
        <w:t>501.000 IDs únicos;</w:t>
      </w:r>
    </w:p>
    <w:p>
      <w:pPr>
        <w:pStyle w:val="Compact"/>
        <w:numPr>
          <w:ilvl w:val="0"/>
          <w:numId w:val="432"/>
        </w:numPr>
        <w:rPr/>
      </w:pPr>
      <w:r>
        <w:rPr/>
        <w:t>domínios e intervalos;</w:t>
      </w:r>
    </w:p>
    <w:p>
      <w:pPr>
        <w:pStyle w:val="Compact"/>
        <w:numPr>
          <w:ilvl w:val="0"/>
          <w:numId w:val="433"/>
        </w:numPr>
        <w:rPr/>
      </w:pPr>
      <w:r>
        <w:rPr/>
        <w:t>datas válidas;</w:t>
      </w:r>
    </w:p>
    <w:p>
      <w:pPr>
        <w:pStyle w:val="Compact"/>
        <w:numPr>
          <w:ilvl w:val="0"/>
          <w:numId w:val="434"/>
        </w:numPr>
        <w:rPr/>
      </w:pPr>
      <w:r>
        <w:rPr>
          <w:rStyle w:val="VerbatimChar"/>
        </w:rPr>
        <w:t>data_baixa</w:t>
      </w:r>
      <w:r>
        <w:rPr/>
        <w:t xml:space="preserve"> vazia se ATIVO;</w:t>
      </w:r>
    </w:p>
    <w:p>
      <w:pPr>
        <w:pStyle w:val="Compact"/>
        <w:numPr>
          <w:ilvl w:val="0"/>
          <w:numId w:val="435"/>
        </w:numPr>
        <w:rPr/>
      </w:pPr>
      <w:r>
        <w:rPr/>
        <w:t>valor &gt; 0;</w:t>
      </w:r>
    </w:p>
    <w:p>
      <w:pPr>
        <w:pStyle w:val="Compact"/>
        <w:numPr>
          <w:ilvl w:val="0"/>
          <w:numId w:val="436"/>
        </w:numPr>
        <w:rPr/>
      </w:pPr>
      <w:r>
        <w:rPr/>
        <w:t>2 casas decimais;</w:t>
      </w:r>
    </w:p>
    <w:p>
      <w:pPr>
        <w:pStyle w:val="Compact"/>
        <w:numPr>
          <w:ilvl w:val="0"/>
          <w:numId w:val="437"/>
        </w:numPr>
        <w:rPr/>
      </w:pPr>
      <w:r>
        <w:rPr/>
        <w:t>coerência residual × idade × vida útil (exceto onde houver erro inserido);</w:t>
      </w:r>
    </w:p>
    <w:p>
      <w:pPr>
        <w:pStyle w:val="Compact"/>
        <w:numPr>
          <w:ilvl w:val="0"/>
          <w:numId w:val="438"/>
        </w:numPr>
        <w:rPr/>
      </w:pPr>
      <w:r>
        <w:rPr/>
        <w:t>soma por distribuidora = saldo publicado.</w:t>
      </w:r>
    </w:p>
    <w:p>
      <w:pPr>
        <w:pStyle w:val="FirstParagraph"/>
        <w:rPr/>
      </w:pPr>
      <w:r>
        <w:rPr>
          <w:b/>
          <w:bCs/>
        </w:rPr>
        <w:t>Moeda e escala.</w:t>
      </w:r>
      <w:r>
        <w:rPr/>
        <w:t xml:space="preserve"> A base está em </w:t>
      </w:r>
      <w:r>
        <w:rPr>
          <w:b/>
          <w:bCs/>
        </w:rPr>
        <w:t>reais com centavos</w:t>
      </w:r>
      <w:r>
        <w:rPr/>
        <w:t xml:space="preserve">. A DF está em </w:t>
      </w:r>
      <w:r>
        <w:rPr>
          <w:b/>
          <w:bCs/>
        </w:rPr>
        <w:t>R$ mil</w:t>
      </w:r>
      <w:r>
        <w:rPr/>
        <w:t>, e a ponte é R$ mil × 1.000 = R$. Os valores são somados em centavos inteiros, sem ponto flutuante. O arredondamento usa o método do maior resto: os centavos faltantes vão às linhas com maior fração, no máximo 1 centavo por linha. O método anterior jogava todo o resíduo na última linha.</w:t>
      </w:r>
    </w:p>
    <w:p>
      <w:pPr>
        <w:pStyle w:val="BodyText"/>
        <w:rPr/>
      </w:pPr>
      <w:r>
        <w:rPr>
          <w:b/>
          <w:bCs/>
        </w:rPr>
        <w:t>Reprodução.</w:t>
      </w:r>
    </w:p>
    <w:p>
      <w:pPr>
        <w:pStyle w:val="Compact"/>
        <w:numPr>
          <w:ilvl w:val="0"/>
          <w:numId w:val="439"/>
        </w:numPr>
        <w:rPr/>
      </w:pPr>
      <w:r>
        <w:rPr/>
        <w:t>Semente 231020069, fixa.</w:t>
      </w:r>
    </w:p>
    <w:p>
      <w:pPr>
        <w:pStyle w:val="Compact"/>
        <w:numPr>
          <w:ilvl w:val="0"/>
          <w:numId w:val="440"/>
        </w:numPr>
        <w:rPr/>
      </w:pPr>
      <w:r>
        <w:rPr/>
        <w:t>Python 3, apenas a biblioteca padrão.</w:t>
      </w:r>
    </w:p>
    <w:p>
      <w:pPr>
        <w:pStyle w:val="Compact"/>
        <w:numPr>
          <w:ilvl w:val="0"/>
          <w:numId w:val="441"/>
        </w:numPr>
        <w:rPr/>
      </w:pPr>
      <w:r>
        <w:rPr/>
        <w:t xml:space="preserve">Parâmetros em </w:t>
      </w:r>
      <w:r>
        <w:rPr>
          <w:rStyle w:val="VerbatimChar"/>
        </w:rPr>
        <w:t>config_base_cpfl_v2.json</w:t>
      </w:r>
      <w:r>
        <w:rPr/>
        <w:t>.</w:t>
      </w:r>
    </w:p>
    <w:p>
      <w:pPr>
        <w:pStyle w:val="Compact"/>
        <w:numPr>
          <w:ilvl w:val="0"/>
          <w:numId w:val="442"/>
        </w:numPr>
        <w:rPr/>
      </w:pPr>
      <w:r>
        <w:rPr/>
        <w:t>Caminhos relativos.</w:t>
      </w:r>
    </w:p>
    <w:p>
      <w:pPr>
        <w:pStyle w:val="Compact"/>
        <w:numPr>
          <w:ilvl w:val="0"/>
          <w:numId w:val="443"/>
        </w:numPr>
        <w:rPr/>
      </w:pPr>
      <w:r>
        <w:rPr/>
        <w:t>O CSV é comprimido sem data interna (</w:t>
      </w:r>
      <w:r>
        <w:rPr>
          <w:rStyle w:val="VerbatimChar"/>
        </w:rPr>
        <w:t>mtime=0</w:t>
      </w:r>
      <w:r>
        <w:rPr/>
        <w:t>). Assim, a mesma configuração gera o mesmo arquivo, com o mesmo hash SHA-256, o que será testado em pasta limpa no Bloco 07.</w:t>
      </w:r>
      <w:bookmarkEnd w:id="89"/>
    </w:p>
    <w:p>
      <w:pPr>
        <w:pStyle w:val="Heading3"/>
        <w:rPr/>
      </w:pPr>
      <w:bookmarkStart w:id="90" w:name="plano-de-conciliação"/>
      <w:r>
        <w:rPr/>
        <w:t>5. Plano de conciliação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Nível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Comparação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Critério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Σ </w:t>
            </w: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valor_registrado_rs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(501.000 linhas) × saldo do BP (R$ 29.623.619 mil)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Diferença R$ 0,00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Por distribuidora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Σ por distribuidora × saldo da nota 11 de cada DF individual (Santa Cruz por diferença)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Diferença R$ 0,00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Quantidade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Linhas = 501.000; bens de referência = 500.000; contagem por distribuidora e categoria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Igual ao projetado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Escala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Um fator por distribuidora (≈ 1,27 a 1,34), divulgado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Aplicado igualmente a todas as linhas, antes do arredondamento</w:t>
            </w:r>
          </w:p>
        </w:tc>
      </w:tr>
    </w:tbl>
    <w:p>
      <w:pPr>
        <w:pStyle w:val="BodyText"/>
        <w:rPr/>
      </w:pPr>
      <w:r>
        <w:rPr>
          <w:b/>
          <w:bCs/>
        </w:rPr>
        <w:t>Por que a população registrada concilia com o saldo publicado.</w:t>
      </w:r>
      <w:r>
        <w:rPr/>
        <w:t xml:space="preserve"> Na auditoria, a listagem que o auditor recebe precisa bater com o razão e com o balanço. Esse é o primeiro teste de integridade da informação produzida pela entidade (NBC TA 500, item 9, p. 449 do consolidado de normas). Por isso, a base </w:t>
      </w:r>
      <w:r>
        <w:rPr>
          <w:b/>
          <w:bCs/>
        </w:rPr>
        <w:t>registrada</w:t>
      </w:r>
      <w:r>
        <w:rPr/>
        <w:t xml:space="preserve">, com os erros, soma exatamente o saldo publicado. O fator de escala é um parâmetro único e visível por distribuidora, aplicado a todas as linhas. Ele </w:t>
      </w:r>
      <w:r>
        <w:rPr>
          <w:b/>
          <w:bCs/>
        </w:rPr>
        <w:t>não</w:t>
      </w:r>
      <w:r>
        <w:rPr/>
        <w:t xml:space="preserve"> é ajuste compensatório oculto e </w:t>
      </w:r>
      <w:r>
        <w:rPr>
          <w:b/>
          <w:bCs/>
        </w:rPr>
        <w:t>não</w:t>
      </w:r>
      <w:r>
        <w:rPr/>
        <w:t xml:space="preserve"> dilui os erros, porque o valor correto de cada registro é calculado com o mesmo fator. A ponte explícita é:</w:t>
      </w:r>
    </w:p>
    <w:p>
      <w:pPr>
        <w:pStyle w:val="BlockText"/>
        <w:rPr/>
      </w:pPr>
      <w:r>
        <w:rPr/>
        <w:t>Saldo publicado (= total registrado) − efeito líquido dos erros inseridos = saldo de referência sem erros.</w:t>
      </w:r>
    </w:p>
    <w:p>
      <w:pPr>
        <w:pStyle w:val="FirstParagraph"/>
        <w:rPr/>
      </w:pPr>
      <w:bookmarkStart w:id="91" w:name="plano-de-conciliação"/>
      <w:r>
        <w:rPr/>
        <w:t>Os valores da ponte ficam reservados até o congelamento dos testes do Bloco 08.</w:t>
      </w:r>
      <w:bookmarkEnd w:id="91"/>
    </w:p>
    <w:p>
      <w:pPr>
        <w:pStyle w:val="Heading3"/>
        <w:rPr/>
      </w:pPr>
      <w:bookmarkStart w:id="92" w:name="plano-de-erros-controlados"/>
      <w:r>
        <w:rPr/>
        <w:t>6. Plano de erros controlados</w:t>
      </w:r>
    </w:p>
    <w:p>
      <w:pPr>
        <w:pStyle w:val="FirstParagraph"/>
        <w:rPr/>
      </w:pPr>
      <w:r>
        <w:rPr/>
        <w:t>São 5.000 erros, 1% da população de referência, 1.000 de cada tipo. Os tipos foram mantidos da etapa 1, com efeitos agora definidos registro a registro: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92"/>
        <w:gridCol w:w="2493"/>
        <w:gridCol w:w="2493"/>
        <w:gridCol w:w="2493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Tipo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 que muda no registro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no saldo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Afirmação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Superavaliação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 registrado = valor correto × (1 + 6% a 18%)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Positivo (a maior)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Subavaliação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 registrado = valor correto × (1 − 6% a 18%)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Negativo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Duplicidade cadastral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Linha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adicional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que copia um bem existente e limpo (mesmo </w:t>
            </w: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id_bem_tecnico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), com novo </w:t>
            </w: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id_registro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Positivo = valor da cópia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Baixado mantido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Status BAIXADO, data de baixa em 2025 e valor ainda positivo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Positivo = valor integral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 / direitos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Classificação incorreta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Categoria trocada; o valor não muda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Zero no total; afeta a abertura por categoria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Classificação</w:t>
            </w:r>
          </w:p>
        </w:tc>
      </w:tr>
    </w:tbl>
    <w:p>
      <w:pPr>
        <w:pStyle w:val="Compact"/>
        <w:numPr>
          <w:ilvl w:val="0"/>
          <w:numId w:val="444"/>
        </w:numPr>
        <w:rPr/>
      </w:pPr>
      <w:r>
        <w:rPr>
          <w:b/>
          <w:bCs/>
        </w:rPr>
        <w:t>Separação.</w:t>
      </w:r>
      <w:r>
        <w:rPr/>
        <w:t xml:space="preserve"> O registro de erros, a base de referência e a ponte ficam em </w:t>
      </w:r>
      <w:r>
        <w:rPr>
          <w:rStyle w:val="VerbatimChar"/>
        </w:rPr>
        <w:t>RESERVADO_NAO_ABRIR_ATE_CONGELAMENTO/</w:t>
      </w:r>
      <w:r>
        <w:rPr/>
        <w:t xml:space="preserve">, fora da pasta usada pelos testes. A base registrada </w:t>
      </w:r>
      <w:r>
        <w:rPr>
          <w:b/>
          <w:bCs/>
        </w:rPr>
        <w:t>não</w:t>
      </w:r>
      <w:r>
        <w:rPr/>
        <w:t xml:space="preserve"> tem coluna que marque o erro, e o ID é atribuído após embaralhar.</w:t>
      </w:r>
    </w:p>
    <w:p>
      <w:pPr>
        <w:pStyle w:val="Compact"/>
        <w:numPr>
          <w:ilvl w:val="0"/>
          <w:numId w:val="445"/>
        </w:numPr>
        <w:rPr/>
      </w:pPr>
      <w:r>
        <w:rPr>
          <w:b/>
          <w:bCs/>
        </w:rPr>
        <w:t>Gabaritos antigos.</w:t>
      </w:r>
      <w:r>
        <w:rPr/>
        <w:t xml:space="preserve"> Os gabaritos da etapa 1 no Drive continuam </w:t>
      </w:r>
      <w:r>
        <w:rPr>
          <w:b/>
          <w:bCs/>
        </w:rPr>
        <w:t>não abertos</w:t>
      </w:r>
      <w:r>
        <w:rPr/>
        <w:t xml:space="preserve"> e passam a ser histórico, porque pertencem à base da etapa 1.</w:t>
      </w:r>
    </w:p>
    <w:p>
      <w:pPr>
        <w:pStyle w:val="Compact"/>
        <w:numPr>
          <w:ilvl w:val="0"/>
          <w:numId w:val="446"/>
        </w:numPr>
        <w:rPr/>
      </w:pPr>
      <w:r>
        <w:rPr>
          <w:b/>
          <w:bCs/>
        </w:rPr>
        <w:t>Limitação declarada.</w:t>
      </w:r>
      <w:r>
        <w:rPr/>
        <w:t xml:space="preserve"> Os erros foram desenhados pela mesma IA que fará os testes. Os resultados mostram se os procedimentos funcionam na simulação, não uma detecção às cegas.</w:t>
      </w:r>
      <w:bookmarkEnd w:id="92"/>
    </w:p>
    <w:p>
      <w:pPr>
        <w:pStyle w:val="Heading3"/>
        <w:rPr/>
      </w:pPr>
      <w:bookmarkStart w:id="93" w:name="Xd76f5fd22fa5b5a1c1bdf75eb2e5dfb99825052"/>
      <w:r>
        <w:rPr/>
        <w:t>7. Testes previstos (Bloco 08) e o que a simulação demonstra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Afirmação / risco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Pode ser demonstrado na simulação?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Conciliação população × razão × BP, total e por distribuidora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Integridade da informação (500 item 9)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Duplicidade de </w:t>
            </w: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id_bem_tecnico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(100% da população)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Itens BAIXADO com valor (100%)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 / direitos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Recálculo do valor (VNR × fator × residual × escala) em 100%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Sim. Na realidade, exigiria a base de remuneração homologada pela ANEEL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Coerência residual × idade × vida útil por categoria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Classificação / avaliação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Amostragem estatística por unidade monetária (MUS), estratificada, com projeção da distorção (PT 530 / 450)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Avaliação / existência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Sim. A distorção projetada é comparada com a ponte reservada </w:t>
            </w: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após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o congelamento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Inspeção física, laudo de VNR, homologação da ANEEL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Existência / avaliação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Não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: somente planejado, por falta de acesso</w:t>
            </w:r>
          </w:p>
        </w:tc>
      </w:tr>
    </w:tbl>
    <w:p>
      <w:pPr>
        <w:pStyle w:val="BodyText"/>
        <w:rPr/>
      </w:pPr>
      <w:r>
        <w:rPr>
          <w:b/>
          <w:bCs/>
        </w:rPr>
        <w:t>Perfil da população registrada</w:t>
      </w:r>
      <w:r>
        <w:rPr/>
        <w:t xml:space="preserve"> (calculado na prévia, não revela erros):</w:t>
      </w:r>
    </w:p>
    <w:p>
      <w:pPr>
        <w:pStyle w:val="Compact"/>
        <w:numPr>
          <w:ilvl w:val="0"/>
          <w:numId w:val="447"/>
        </w:numPr>
        <w:rPr/>
      </w:pPr>
      <w:r>
        <w:rPr/>
        <w:t>Subestações são 3% das linhas e 52% do valor. Isso justifica a estratificação.</w:t>
      </w:r>
    </w:p>
    <w:p>
      <w:pPr>
        <w:pStyle w:val="Compact"/>
        <w:numPr>
          <w:ilvl w:val="0"/>
          <w:numId w:val="448"/>
        </w:numPr>
        <w:rPr/>
      </w:pPr>
      <w:r>
        <w:rPr/>
        <w:t>Maior item: R$ 3,6 milhões. Nenhum item isolado alcança a materialidade de execução (R$ 303,4 milhões).</w:t>
      </w:r>
    </w:p>
    <w:p>
      <w:pPr>
        <w:pStyle w:val="Compact"/>
        <w:numPr>
          <w:ilvl w:val="0"/>
          <w:numId w:val="449"/>
        </w:numPr>
        <w:rPr/>
      </w:pPr>
      <w:bookmarkStart w:id="94" w:name="Xd76f5fd22fa5b5a1c1bdf75eb2e5dfb99825052"/>
      <w:r>
        <w:rPr/>
        <w:t>Mediana: R$ 15,1 mil.</w:t>
      </w:r>
      <w:bookmarkEnd w:id="94"/>
    </w:p>
    <w:p>
      <w:pPr>
        <w:pStyle w:val="Heading3"/>
        <w:rPr/>
      </w:pPr>
      <w:bookmarkStart w:id="95" w:name="X74313b511dc75fa67c9d56170d0374020b688b1"/>
      <w:r>
        <w:rPr/>
        <w:t>8. Tamanho dos arquivos e formato de entrega</w:t>
      </w:r>
    </w:p>
    <w:p>
      <w:pPr>
        <w:pStyle w:val="Compact"/>
        <w:numPr>
          <w:ilvl w:val="0"/>
          <w:numId w:val="450"/>
        </w:numPr>
        <w:rPr/>
      </w:pPr>
      <w:r>
        <w:rPr>
          <w:b/>
          <w:bCs/>
        </w:rPr>
        <w:t>Base integral:</w:t>
      </w:r>
      <w:r>
        <w:rPr/>
        <w:t xml:space="preserve"> CSV comprimido (</w:t>
      </w:r>
      <w:r>
        <w:rPr>
          <w:rStyle w:val="VerbatimChar"/>
        </w:rPr>
        <w:t>.csv.gz</w:t>
      </w:r>
      <w:r>
        <w:rPr/>
        <w:t xml:space="preserve">), cerca de </w:t>
      </w:r>
      <w:r>
        <w:rPr>
          <w:b/>
          <w:bCs/>
        </w:rPr>
        <w:t>14,7 MB</w:t>
      </w:r>
      <w:r>
        <w:rPr/>
        <w:t>, abaixo do limite de 25 MB do envio pelo site do GitHub.</w:t>
      </w:r>
    </w:p>
    <w:p>
      <w:pPr>
        <w:pStyle w:val="Compact"/>
        <w:numPr>
          <w:ilvl w:val="0"/>
          <w:numId w:val="451"/>
        </w:numPr>
        <w:rPr/>
      </w:pPr>
      <w:r>
        <w:rPr>
          <w:b/>
          <w:bCs/>
        </w:rPr>
        <w:t>Planilha editável (Bloco 07):</w:t>
      </w:r>
      <w:r>
        <w:rPr/>
        <w:t xml:space="preserve"> conciliação, resumos por distribuidora e categoria, dicionário, integridade e prévia de 1.000 linhas.</w:t>
      </w:r>
    </w:p>
    <w:p>
      <w:pPr>
        <w:pStyle w:val="Compact"/>
        <w:numPr>
          <w:ilvl w:val="0"/>
          <w:numId w:val="452"/>
        </w:numPr>
        <w:rPr/>
      </w:pPr>
      <w:r>
        <w:rPr/>
        <w:t>A base integral não entra no Word nem é carregada na conversa.</w:t>
      </w:r>
    </w:p>
    <w:p>
      <w:pPr>
        <w:pStyle w:val="Compact"/>
        <w:numPr>
          <w:ilvl w:val="0"/>
          <w:numId w:val="453"/>
        </w:numPr>
        <w:rPr/>
      </w:pPr>
      <w:bookmarkStart w:id="96" w:name="X74313b511dc75fa67c9d56170d0374020b688b1"/>
      <w:r>
        <w:rPr/>
        <w:t>O xlsx de 500 mil linhas da etapa 1 (cerca de 36 MB) excede o limite do GitHub pelo site e deixa de ser a base de entrega.</w:t>
      </w:r>
      <w:bookmarkEnd w:id="96"/>
    </w:p>
    <w:p>
      <w:pPr>
        <w:pStyle w:val="Heading3"/>
        <w:rPr/>
      </w:pPr>
      <w:bookmarkStart w:id="97" w:name="X175556988b9a219a79231ea826ac848d2a81405"/>
      <w:r>
        <w:rPr/>
        <w:t>9. Comparação com a base da etapa 1 e decisão pedida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Aspecto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Etapa 1 (v1)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Proposta (v2)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 por distribuidora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Proporções hipotéticas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Saldos publicados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(3 DFs + diferença)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 residual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Aleatório (0,38 a 0,95), sem relação com a idade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Função da idade e da vida útil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 de atualização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1,02 a 2,25 (alto para IPCA entre revisões)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1,00 a 1,30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Duplicidade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Troca do ID técnico de um registro por outro sem relação, às vezes de outra empresa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Cópia integral de um bem existente, como linha adicional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Efeito monetário dos erros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Só super e subavaliação, antes da calibração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Todos os tipos, no mesmo critério do saldo final, com ponte exata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Arredondamento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Resíduo no último registro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Maior resto (≤ 1 centavo por linha)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Caminhos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Absolutos (</w:t>
            </w: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/mnt/data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Relativos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Formato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xlsx de cerca de 36 MB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CSV.gz de cerca de 14,7 MB + planilha de resumos</w:t>
            </w:r>
          </w:p>
        </w:tc>
      </w:tr>
    </w:tbl>
    <w:p>
      <w:pPr>
        <w:pStyle w:val="BodyText"/>
        <w:rPr/>
      </w:pPr>
      <w:r>
        <w:rPr>
          <w:b/>
          <w:bCs/>
        </w:rPr>
        <w:t>Decisão proposta D-B06-01:</w:t>
      </w:r>
      <w:r>
        <w:rPr/>
        <w:t xml:space="preserve"> adotar a base v2 como base de entrega. Isso substitui D-B01-03. A base v1, o gerador original e os gabaritos da etapa 1 ficam preservados como histórico.</w:t>
      </w:r>
      <w:bookmarkEnd w:id="97"/>
    </w:p>
    <w:p>
      <w:pPr>
        <w:pStyle w:val="Heading3"/>
        <w:rPr/>
      </w:pPr>
      <w:bookmarkStart w:id="98" w:name="X79d66b46cc0a20cb3af9f903e6153c12bd6929f"/>
      <w:r>
        <w:rPr/>
        <w:t>10. Prévia (12 primeiras linhas da base registrada, geração de teste)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79"/>
        <w:gridCol w:w="880"/>
        <w:gridCol w:w="880"/>
        <w:gridCol w:w="880"/>
        <w:gridCol w:w="879"/>
        <w:gridCol w:w="1174"/>
        <w:gridCol w:w="1172"/>
        <w:gridCol w:w="1174"/>
        <w:gridCol w:w="880"/>
        <w:gridCol w:w="1173"/>
      </w:tblGrid>
      <w:tr>
        <w:trPr>
          <w:tblHeader w:val="true"/>
        </w:trPr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id_registro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id_bem_tecnico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distribuidora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categoria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incorporação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VNR base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 atual.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residual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status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 registrado (R$)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AFC-SIM-0000001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BEM-SIM-0232671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RGE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Transformadores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2019-05-24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79.457,53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1,2001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0,7247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91.597,89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AFC-SIM-0000002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BEM-SIM-0191132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Transformadores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2009-02-11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165.501,51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1,2596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0,2965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81.792,71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AFC-SIM-0000003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BEM-SIM-0363396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Piratininga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Redes de distribuição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2023-07-17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75.839,41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1,2582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0,9180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116.999,46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AFC-SIM-0000004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BEM-SIM-0435327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RGE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Transformadores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2004-07-13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76.081,98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1,0776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0,1055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11.464,80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AFC-SIM-0000005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BEM-SIM-0483537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RGE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Redes de distribuição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2022-06-25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61.070,66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1,2472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0,8827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89.116,18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AFC-SIM-0000006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BEM-SIM-0088267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Postes e estruturas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1994-10-13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12.102,43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1,2058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0,1329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2.566,42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AFC-SIM-0000007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BEM-SIM-0085278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Redes de distribuição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2008-04-16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78.479,14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1,1549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0,4097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49.138,27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AFC-SIM-0000008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BEM-SIM-0068625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RGE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Medidores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2019-04-03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6.029,02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1,1027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0,5503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4.849,29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AFC-SIM-0000009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BEM-SIM-0016757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Redes de distribuição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2002-06-06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21.756,85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1,1323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0,2143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6.986,10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AFC-SIM-0000010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BEM-SIM-0240117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RGE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Redes de distribuição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2020-02-07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46.072,11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1,2781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0,8034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62.706,05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AFC-SIM-0000011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BEM-SIM-0269617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Piratininga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Redes de distribuição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2019-10-21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47.755,06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1,0987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0,7935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55.608,61</w:t>
            </w:r>
          </w:p>
        </w:tc>
      </w:tr>
      <w:tr>
        <w:trPr/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AFC-SIM-0000012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BEM-SIM-0014451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Medidores</w:t>
            </w:r>
          </w:p>
        </w:tc>
        <w:tc>
          <w:tcPr>
            <w:tcW w:w="8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2014-06-12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4.447,74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1,0431</w:t>
            </w:r>
          </w:p>
        </w:tc>
        <w:tc>
          <w:tcPr>
            <w:tcW w:w="1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0,2298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</w:t>
            </w:r>
          </w:p>
        </w:tc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1.410,82</w:t>
            </w:r>
          </w:p>
        </w:tc>
      </w:tr>
    </w:tbl>
    <w:p>
      <w:pPr>
        <w:pStyle w:val="BodyText"/>
        <w:rPr/>
      </w:pPr>
      <w:r>
        <w:rPr/>
        <w:t xml:space="preserve">Colunas </w:t>
      </w:r>
      <w:r>
        <w:rPr>
          <w:rStyle w:val="VerbatimChar"/>
        </w:rPr>
        <w:t>data_baixa</w:t>
      </w:r>
      <w:r>
        <w:rPr/>
        <w:t xml:space="preserve"> (vazia), </w:t>
      </w:r>
      <w:r>
        <w:rPr>
          <w:rStyle w:val="VerbatimChar"/>
        </w:rPr>
        <w:t>data_base</w:t>
      </w:r>
      <w:r>
        <w:rPr/>
        <w:t xml:space="preserve"> (2025-12-31) e </w:t>
      </w:r>
      <w:r>
        <w:rPr>
          <w:rStyle w:val="VerbatimChar"/>
        </w:rPr>
        <w:t>origem_dados</w:t>
      </w:r>
      <w:r>
        <w:rPr/>
        <w:t xml:space="preserve"> (SINTETICO) foram omitidas na prévia.</w:t>
      </w:r>
    </w:p>
    <w:p>
      <w:pPr>
        <w:pStyle w:val="BodyText"/>
        <w:rPr/>
      </w:pPr>
      <w:r>
        <w:rPr>
          <w:b/>
          <w:bCs/>
        </w:rPr>
        <w:t>Leitura do primeiro registro.</w:t>
      </w:r>
      <w:r>
        <w:rPr/>
        <w:t xml:space="preserve"> 79.457,53 × 1,2001 × 0,7247 = 69.105,20. Multiplicado pelo fator de escala da RGE (1,32548465), dá 91.597,89. Um transformador incorporado em 2019, com vida útil de 24 anos, tem cerca de 6,6 anos de idade: 1 − 6,6/24 ≈ 0,725. O residual é coerente.</w:t>
      </w:r>
      <w:bookmarkEnd w:id="98"/>
    </w:p>
    <w:p>
      <w:pPr>
        <w:pStyle w:val="Heading3"/>
        <w:rPr/>
      </w:pPr>
      <w:bookmarkStart w:id="99" w:name="fontes"/>
      <w:r>
        <w:rPr/>
        <w:t>Fontes</w:t>
      </w:r>
    </w:p>
    <w:p>
      <w:pPr>
        <w:pStyle w:val="Compact"/>
        <w:numPr>
          <w:ilvl w:val="0"/>
          <w:numId w:val="454"/>
        </w:numPr>
        <w:rPr/>
      </w:pPr>
      <w:r>
        <w:rPr/>
        <w:t>DF25 CPFL.pdf (Drive, pasta 01): BP p. física 34; nota 4 p. 59; nota 11 p. 68; PAA 3 p. 29.</w:t>
      </w:r>
    </w:p>
    <w:p>
      <w:pPr>
        <w:pStyle w:val="Compact"/>
        <w:numPr>
          <w:ilvl w:val="0"/>
          <w:numId w:val="455"/>
        </w:numPr>
        <w:rPr/>
      </w:pPr>
      <w:r>
        <w:rPr/>
        <w:t>DFs Anuais Completas CPFL Paulista, RGE e CPFL Piratininga 2025 (Drive, pasta 06): notas 11.</w:t>
      </w:r>
    </w:p>
    <w:p>
      <w:pPr>
        <w:pStyle w:val="Compact"/>
        <w:numPr>
          <w:ilvl w:val="0"/>
          <w:numId w:val="456"/>
        </w:numPr>
        <w:rPr/>
      </w:pPr>
      <w:r>
        <w:rPr/>
        <w:t>CPFL_Ata_Metodologica_Base_Sintetica.pdf, build_cpfl.py e CPFL_Base_Parametros.json (Drive, pasta MANDAR PARA O CLAUDE PRO): premissas da etapa 1.</w:t>
      </w:r>
    </w:p>
    <w:p>
      <w:pPr>
        <w:pStyle w:val="Compact"/>
        <w:numPr>
          <w:ilvl w:val="0"/>
          <w:numId w:val="457"/>
        </w:numPr>
        <w:rPr/>
      </w:pPr>
      <w:r>
        <w:rPr/>
        <w:t>PROMPTS CPFL.pdf, Blocos 06 e 07 (Drive, pasta MANDAR PARA O CLAUDE PRO).</w:t>
      </w:r>
    </w:p>
    <w:p>
      <w:pPr>
        <w:pStyle w:val="Compact"/>
        <w:numPr>
          <w:ilvl w:val="0"/>
          <w:numId w:val="458"/>
        </w:numPr>
        <w:rPr/>
      </w:pPr>
      <w:bookmarkStart w:id="100" w:name="Xd9283d0af12feaf0204430472904895476c949e"/>
      <w:bookmarkStart w:id="101" w:name="fontes"/>
      <w:r>
        <w:rPr/>
        <w:t>CONSOLIDAÇÃO DAS NORMAS AUD 1.pdf (Drive, pasta 07): NBC TA 500 (p. 446; item 9 na p. 449), 530 (p. 530), 450 (p. 427).</w:t>
      </w:r>
      <w:bookmarkEnd w:id="100"/>
      <w:bookmarkEnd w:id="101"/>
    </w:p>
    <w:p>
      <w:pPr>
        <w:pStyle w:val="Heading2"/>
        <w:rPr/>
      </w:pPr>
      <w:bookmarkStart w:id="102" w:name="__RefHeading___Toc31563_1660191972"/>
      <w:bookmarkStart w:id="103" w:name="Xd7eb57fbf5ef5da0c4d5aa5456fbb7463ea71da"/>
      <w:bookmarkEnd w:id="102"/>
      <w:r>
        <w:rPr/>
        <w:t>8.2 Geração, conciliação e dicionário (Bloco 07)</w:t>
      </w:r>
    </w:p>
    <w:p>
      <w:pPr>
        <w:pStyle w:val="FirstParagraph"/>
        <w:rPr/>
      </w:pPr>
      <w:r>
        <w:rPr>
          <w:b/>
          <w:bCs/>
        </w:rPr>
        <w:t>Arquivo entregue:</w:t>
      </w:r>
      <w:r>
        <w:rPr/>
        <w:t xml:space="preserve"> </w:t>
      </w:r>
      <w:r>
        <w:rPr>
          <w:rStyle w:val="VerbatimChar"/>
        </w:rPr>
        <w:t>CPFL_SINTETICA_Base_AFC_2025_registrada.csv.gz</w:t>
      </w:r>
      <w:r>
        <w:rPr/>
        <w:t xml:space="preserve"> (14.678.974 bytes; SHA-256 877d4a0256af842b859617f22c71678f30749e75b724c20cd205895ef85e4bb0), gerado por </w:t>
      </w:r>
      <w:r>
        <w:rPr>
          <w:rStyle w:val="VerbatimChar"/>
        </w:rPr>
        <w:t>gerar_base_cpfl_v2.py</w:t>
      </w:r>
      <w:r>
        <w:rPr/>
        <w:t xml:space="preserve"> com </w:t>
      </w:r>
      <w:r>
        <w:rPr>
          <w:rStyle w:val="VerbatimChar"/>
        </w:rPr>
        <w:t>config_base_cpfl_v2.json</w:t>
      </w:r>
      <w:r>
        <w:rPr/>
        <w:t xml:space="preserve"> (semente 231020069) e verificado por </w:t>
      </w:r>
      <w:r>
        <w:rPr>
          <w:rStyle w:val="VerbatimChar"/>
        </w:rPr>
        <w:t>verificar_base_cpfl_v2.py</w:t>
      </w:r>
      <w:r>
        <w:rPr/>
        <w:t>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74"/>
        <w:gridCol w:w="2099"/>
        <w:gridCol w:w="2099"/>
        <w:gridCol w:w="2100"/>
        <w:gridCol w:w="2100"/>
      </w:tblGrid>
      <w:tr>
        <w:trPr>
          <w:tblHeader w:val="true"/>
        </w:trPr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Distribuidora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Registros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Total (R mil)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Diferença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213.372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12.617.237.000,00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12.617.237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0,00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RGE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215.362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12.734.234.000,00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12.734.234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0,00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Piratininga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64.897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3.836.600.000,00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3.836.600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0,00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Santa Cruz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7.369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435.548.000,00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435.548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0,00</w:t>
            </w:r>
          </w:p>
        </w:tc>
      </w:tr>
      <w:tr>
        <w:trPr/>
        <w:tc>
          <w:tcPr>
            <w:tcW w:w="1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Total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501.000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29.623.619.000,00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29.623.619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righ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0,00</w:t>
            </w:r>
          </w:p>
        </w:tc>
      </w:tr>
    </w:tbl>
    <w:p>
      <w:pPr>
        <w:pStyle w:val="BodyText"/>
        <w:rPr/>
      </w:pPr>
      <w:r>
        <w:rPr/>
        <w:t>Fonte: resumo do verificador (reexecutado em pasta limpa em 23/10/2026, RV12-09). Detalhe na planilha CPFL_B07_Conciliacao_Verificacoes_Base.xlsx (aba Conciliacao).</w:t>
      </w:r>
    </w:p>
    <w:p>
      <w:pPr>
        <w:pStyle w:val="BodyText"/>
        <w:rPr/>
      </w:pPr>
      <w:r>
        <w:rPr>
          <w:b/>
          <w:bCs/>
        </w:rPr>
        <w:t>Dicionário de dados (13 campos):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92"/>
        <w:gridCol w:w="2493"/>
        <w:gridCol w:w="2493"/>
        <w:gridCol w:w="2493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Campo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Tipo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Definição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Natureza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id_registro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Chave primária AFC-SIM-0000001 a AFC-SIM-0501000, atribuída após embaralhamento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id_bem_tecnico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Identifica o bem físico; repetição = indício de duplicidade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distribuidora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CPFL Paulista, RGE, CPFL Piratininga, CPFL Santa Cruz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Nome real; alocação sintética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categoria_cadastrada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Redes, transformadores, postes, medidores, subestações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data_incorporacao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Entre 1985 e 2025, compatível com a vida útil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vnr_base_simulado_rs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decimal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VNR unitário da categoria × fator aleatório; não é VNR homologado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fator_atualizacao_simulado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decimal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Substituto didático do IPCA acumulado (DF25 nota 4, p. 59)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fator_residual_simulado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decimal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1 − idade/vida útil (mínimo 0,01)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Sintético, dependente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status_cadastral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ou BAIXADO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data_baixa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 ou vazio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Vazio quando ATIVO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valor_registrado_rs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decimal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Saldo em 31/12/2025, conciliado por distribuidora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Sintético; total conciliado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data_base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data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2025-12-31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Constante</w:t>
            </w:r>
          </w:p>
        </w:tc>
      </w:tr>
      <w:tr>
        <w:trPr/>
        <w:tc>
          <w:tcPr>
            <w:tcW w:w="2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origem_dados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texto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SINTETICO em todas as linhas</w:t>
            </w:r>
          </w:p>
        </w:tc>
        <w:tc>
          <w:tcPr>
            <w:tcW w:w="2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Rótulo obrigatório</w:t>
            </w:r>
          </w:p>
        </w:tc>
      </w:tr>
    </w:tbl>
    <w:p>
      <w:pPr>
        <w:pStyle w:val="BodyText"/>
        <w:rPr/>
      </w:pPr>
      <w:r>
        <w:rPr>
          <w:b/>
          <w:bCs/>
        </w:rPr>
        <w:t>Qualidade (16 verificações, F01–F16):</w:t>
      </w:r>
      <w:r>
        <w:rPr/>
        <w:t xml:space="preserve"> nenhuma falha de geração; 1.000 pares de </w:t>
      </w:r>
      <w:r>
        <w:rPr>
          <w:rStyle w:val="VerbatimChar"/>
        </w:rPr>
        <w:t>id_bem_tecnico</w:t>
      </w:r>
      <w:r>
        <w:rPr/>
        <w:t xml:space="preserve"> repetidos e 1.000 bens BAIXADO com valor são exceções do desenho, tratadas no PT 530. Reprodução em pasta limpa com hash idêntico (Bloco 07 e Bloco 12).</w:t>
      </w:r>
    </w:p>
    <w:p>
      <w:pPr>
        <w:pStyle w:val="BodyText"/>
        <w:rPr/>
      </w:pPr>
      <w:r>
        <w:rPr>
          <w:b/>
          <w:bCs/>
        </w:rPr>
        <w:t>Uso nos testes (Bloco 08):</w:t>
      </w:r>
      <w:r>
        <w:rPr/>
        <w:t xml:space="preserve"> ver PT 530 e PT 450. Erros inseridos, base de referência e ponte de efeitos ficaram em pasta reservada até o congelamento dos testes (19:55:53 de 23/10/2026) e estão em </w:t>
      </w:r>
      <w:r>
        <w:rPr>
          <w:rStyle w:val="VerbatimChar"/>
        </w:rPr>
        <w:t>CPFL_SINTETICA_Reservados_pos_congelamento.zip</w:t>
      </w:r>
      <w:r>
        <w:rPr/>
        <w:t>.</w:t>
      </w:r>
      <w:bookmarkEnd w:id="103"/>
      <w:r>
        <w:br w:type="page"/>
      </w:r>
    </w:p>
    <w:p>
      <w:pPr>
        <w:pStyle w:val="Heading1"/>
        <w:rPr/>
      </w:pPr>
      <w:bookmarkStart w:id="104" w:name="__RefHeading___Toc31565_1660191972"/>
      <w:bookmarkEnd w:id="104"/>
      <w:r>
        <w:rPr/>
        <w:t>Apêndice A — Divergências registradas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Divergência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Tratamento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DV01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Controle antigo: 129.669 em “Investimentos em instrumentos patrimoniais” 2025; DF25 p. 34/2 mostra 129.659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Corrigido; o ativo não circulante fecha sem diferença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DV02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Guia indicava ativo total na “p. 23”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Página correta: p. física 34 / impressa 2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DV03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xlsx no Drive (41,3 MB) com tamanho diferente do hash registrado (35,8 MB)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reproduzida pelo gerador (D-B01-03); depois substituída pela base v2 (D-B06-01)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DV04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Gerador com caminhos absolutos (/mnt/data)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Resolvido: gerador v2 com caminhos relativos, testado em pasta limpa (Bloco 07)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DV05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Nomes de arquivos diferentes entre o registro e o Drive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Registrados os dois nomes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DV06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PDF do enunciado não localizado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Usado o texto fornecido pelo aluno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DV07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Pasta de produção inexistente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Criada em 22/10/2026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DV08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Cronograma do guia com datas incoerentes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Novo cronograma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DV09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NBC TA 240 (R2) e 570 (R1) publicadas em 2026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aplicadas a 2025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Ativo não circulante 2024: soma com diferença de −2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Arredondamento (nota 2.4)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DV11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IR/CS a compensar (circulante) 2024: 716.764 × 715.764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Corrigido (DF25 p. 34/2)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DV12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Despesas com vendas 2025: 986.664 × 985.664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Corrigido (DF25 p. 36/4)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DV13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Resultado do serviço 2025: 10.776.490 × 10.778.490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Corrigido (DF25 p. 36/4)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DV14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Nome anterior “Draftll Participações” × “Draft II”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Usado o FR 2025 v6 item 1.1; confirmar na CVM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FR 2025 e FR 2026 truncados (16 MiB)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Limitação registrada; buscar versão íntegra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DV17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Matriz preliminar (etapa 3), R08: 999.257 descrito como ativos, mas soma ativos (595.863) e passivos (403.394) de derivativos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Corrigido no PT 315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DV18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Nota 30 (p. 103): aquisições do segmento de geração lidas como 259.975 na primeira transcrição; a imagem ampliada mostra 269.975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Corrigido; a soma dos segmentos passou a conciliar com o total (6.112.098)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DV19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da etapa 1 distribuía bens por distribuidora em proporções hipotéticas (40/30/25/5%); notas 11 das DFs individuais mostram 42,6/43,0/13,0/1,5%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v2 conciliada por distribuidora (D-B06-01, aprovada pelo aluno em 23/10/2026)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DV20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DF24 CPFL.pdf do Drive não contém o relatório do auditor independente (só o Relatório da Administração, as DF, o parecer do Conselho Fiscal e as declarações)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Opinião de 2024 inferida dos documentos das p. 138–139 (PT 510); obter o relatório integral na CVM/ENET (B12)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DV21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Quadro de liquidez do PT 570 (planilha B10): total de debêntures registrado como 30.641.582; a nota 34 g (DF25 p. 113/81) mostra 30.641.585, igual à soma da linha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Corrigido no Bloco 12 (RV-B12); a falsa diferença de arredondamento de −3 deixou de existir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DV16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“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>EXEMPLO 1/2/3 DE DOSSIE” são guias IFAC (vol. 2, 2ª ed. CFC 2010 e 4ª ed. em inglês) e a Orientação Prática da CGU (2022)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Usados só como referência de forma</w:t>
            </w:r>
            <w:bookmarkStart w:id="105" w:name="apêndice-a-divergências-registradas"/>
            <w:bookmarkEnd w:id="105"/>
          </w:p>
        </w:tc>
      </w:tr>
    </w:tbl>
    <w:p>
      <w:pPr>
        <w:pStyle w:val="Heading1"/>
        <w:rPr/>
      </w:pPr>
      <w:r>
        <w:br w:type="page"/>
      </w:r>
      <w:bookmarkStart w:id="106" w:name="__RefHeading___Toc31567_1660191972"/>
      <w:bookmarkEnd w:id="106"/>
      <w:r>
        <w:rPr/>
        <w:t>Apêndice B — Fontes utilizadas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94"/>
        <w:gridCol w:w="1994"/>
        <w:gridCol w:w="1995"/>
        <w:gridCol w:w="1994"/>
        <w:gridCol w:w="1995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ID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Páginas usadas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Local / URL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Acesso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FC01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DF25 CPFL.pdf — DF individuais e consolidadas 2025 e relatório do auditor (SHA-256 0694f2b9…a578)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26–36, 39, 41–42, 45–46, 54, 60–64, 68–85, 94–108, 113–115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01). Publicação legal: https://publicidadelegal.valor.com.br/valor/2026/03/20/CPFLENERGIA1588267020032026.pdf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FC09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CONSOLIDAÇÃO DAS NORMAS AUD 1.pdf (756 p.; SHA-256 f2edf5fa…2775)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3–145, 252–256, 548–552, 639–646, 684–702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07)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FC11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CFC — NBC TA de Auditoria Independente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https://cfc.org.br/tecnica/normas-brasileiras-de-contabilidade/nbc-ta-de-auditoria-independente/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FC12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Notícia sobre a vigência das NBC TA 240 (R2) e 570 (R1) (fonte secundária)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https://www.lrmconsultoria.com.br/noticias/tecnicas/2026/09/30/cfc-atualiza-normas-de-auditoria-sobre-fraude-e-continuidade-operacional.html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FC13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CVM Dados Abertos — DFP (diretório)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https://dados.cvm.gov.br/dados/CIA_ABERTA/DOC/DFP/DADOS/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FC14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FR_CPFL Energia 2025_V6_06-04-26_PT.pdf (truncado)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Item 1.1, p. 1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03); portal https://www.rad.cvm.gov.br/ENETWEB/frmConsultaExternaCVM.aspx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FC15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ITR 3TRI 2025.pdf — DF intermediárias e relatório de revisão (48 p.)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14–15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01)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FC16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Fato Relevante — Renovação das concessões (08/05/2026)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1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03)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FC18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Regimentos e políticas de governança (Comitê de Auditoria 11/11/2025 e 08/09/2026; Conselho Fiscal 10/05/2024; Auditoria Interna 24/01/2024; Política de Gerenciamento de Riscos; Política Anticorrupção)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Títulos e datas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03)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FC19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Planilha e relatório de materialidade (etapa 2) e matriz preliminar de riscos (etapa 3)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Integral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(MANDAR PARA O CLAUDE PRO)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FC20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 2025 das controladas CPFL Paulista, RGE, Piratininga, Transmissão e Renováveis (relatórios da PwC)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Relatório do auditor e totais; notas 11 (Paulista p. 29, RGE p. 31, Piratininga p. 29, páginas impressas)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06)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FC17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Modelos de forma: guias IFAC vol. 2 (CFC 2ª ed.; 4ª ed. inglês) e CGU Orientação Prática (2022)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MANDAR PARA O CLAUDE PRO)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22/10/2026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FC21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SINTÉTICA v2 e códigos: gerar_base_cpfl_v2.py, config_base_cpfl_v2.json, verificar_base_cpfl_v2.py, CPFL_SINTETICA_Base_AFC_2025_registrada.csv.gz (SHA-256 877d4a02…4bb0), CPFL_B06_Projeto_Base_Sintetica, CPFL_B07_Conciliacao_Verificacoes_Base.xlsx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Integral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09/03_Base_sintetica) e repositório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FC22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Testes do Bloco 08: B08_Desenho_pre_registro.md (Drive 04_Testes, 23/10/2026 19:54), B08_congelamento.json (19:55:53), testes_b08.py, avaliacao_complementar_b08.py, comparar_gabarito_b08.py, saídas CSV/JSON, CPFL_B08_Amostragem_Testes_Distorcoes.xlsx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Integral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09/04_Testes) e repositório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FC23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DF24 CPFL.pdf (DF 2024: BP, DRE, nota 1.3, nota 2.1, parecer do Conselho Fiscal e declaração da diretoria)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p. 27, 34–36, 45–46, 138–139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01)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FC24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ITR 2TRI 2026 (notas 1.2 e 11: assinatura dos aditivos em 06/05/2026 e reclassificação de 29.599.494 do ativo financeiro para o intangível)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p. 43 e 49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01)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FC25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IBGE — IPCA acumulado 2025 (4,26%) e 2024 (4,83%), Agência de Notícias IBGE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agenciadenoticias.ibge.gov.br (notícias 45613 e 42416)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FC26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Política de Partes Relacionadas (CA de 16/12/2021) e Fato Relevante de 08/05/2026 (renovação das concessões)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Integral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03)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FC27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Release de Resultados 4T25 (alavancagem 2,30x no critério dos covenants; cronograma de amortização; dividendos propostos)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p. 3–4, 15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01)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FC28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ITR 1TRI 2026 (autorização 11/05/2026; revisão PwC 13/05/2026; nota 23 de eventos subsequentes)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p. 42, 55, 58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01)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FC29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 CPFL — lista de comunicados ao mercado de 2026 (último: 14/10/2026, calendário do 3T26) e notícias de dividendos (02/10 e 23/10/2026)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ri.cpfl.com.br; suno.com.br; meusdividendos.com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 (corte da pesquisa)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FC30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Bloco 11: CPFL_B11_Comunicacoes_Distorcoes_Evidencia.xlsx (PT 265, PT 450, PT 500, PT 260) e minutas de governança, deficiências e representações NÃO ENVIADAS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Integral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09/02_Planejamento) e repositório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FC31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CRCSP, “NBC TA 240 (R2)” (notícia de 02/10/2026) e Portal Contnews, “CFC atualiza normas de auditoria sobre fraudes e continuidade operacional”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online.crcsp.org.br/portal/noticias/noticia.asp?c=11367; portalcontnews.com.br/?p=343355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FC32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 CPFL — lista de comunicados de 2026 relida no Bloco 12; Cenário Energia (09/03/2026) sobre a recomposição do Conselho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ri.cpfl.com.br/list.aspx?ano=2026; cenarioenergia.com.br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 (corte final da pesquisa)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FC33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Bloco 12: CPFL_B12_Revisao_Tecnica_Cobertura.xlsx (registro de revisão, matriz final de cobertura, conferências automatizadas, revisão analítica final) e scripts b12_*.py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Integral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Drive (pasta 09/00_Controle) e repositório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23/10/2026</w:t>
            </w:r>
          </w:p>
        </w:tc>
      </w:tr>
      <w:tr>
        <w:trPr/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FC34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CVM — dados abertos, DFP 2025 (dfp_cia_aberta_2025.zip): índice de documentos, BPA, BPP e DFC-MI consolidados e pareceres/declarações; versão 1, documento 155108, recebido em 05/03/2026. Conferência: CPFL_B13_Conferencia_PDF_CVM.xlsx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Linhas da CPFL (CNPJ 02.429.144/0001-93)</w:t>
            </w:r>
          </w:p>
        </w:tc>
        <w:tc>
          <w:tcPr>
            <w:tcW w:w="19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dados.cvm.gov.br/dataset/cia_aberta-doc-dfp (arquivo obtido pelo aluno e salvo no Drive em 23/10/2026)</w:t>
            </w:r>
          </w:p>
        </w:tc>
        <w:tc>
          <w:tcPr>
            <w:tcW w:w="19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24/10/2026</w:t>
            </w:r>
          </w:p>
        </w:tc>
      </w:tr>
    </w:tbl>
    <w:p>
      <w:pPr>
        <w:pStyle w:val="Heading1"/>
        <w:rPr/>
      </w:pPr>
      <w:r>
        <w:br w:type="page"/>
      </w:r>
      <w:bookmarkStart w:id="107" w:name="__RefHeading___Toc31569_1660191972"/>
      <w:bookmarkEnd w:id="107"/>
      <w:r>
        <w:rPr/>
        <w:t>Apêndice C — Anexos digitais que acompanham o dossiê (repositório)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Pasta do repositório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Conteúdo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Observação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01_Dossie/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Dossie_CPFL_2025_231020069_v1.0 (PDF e DOCX)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Documento integrado com os 27 PTs, 7 programas, conclusão e minutas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02_Base_sintetica/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Base CSV.gz (501.000 registros), gerador, configuração, verificador, conciliação (xlsx), projeto B06, reservados pós-congelamento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Dados SINTÉTICOS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03_Testes_amostragem/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Pré-registro, congelamento, códigos e saídas do Bloco 08; planilha B08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Não são fatos da companhia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04_Planilhas/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Materialidade e riscos (B04), grupo (B05), análises B09–B11, revisão B12, conferência CVM B13, dados reais B02, controles B01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Fórmulas recalculadas, 0 erros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05_Papeis/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27 PTs em texto (Markdown) e minutas NÃO ENVIADAS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Mesmo conteúdo do dossiê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06_Controle/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ESTADO_DO_PROJETO, DECISOES, PENDENCIAS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Rastreabilidade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pt-BR" w:eastAsia="en-US" w:bidi="ar-SA"/>
              </w:rPr>
              <w:t>07_Codigo/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Scripts de montagem do dossiê e das planilhas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Reprodução do documento</w:t>
            </w:r>
          </w:p>
        </w:tc>
      </w:tr>
    </w:tbl>
    <w:p>
      <w:pPr>
        <w:pStyle w:val="BodyText"/>
        <w:rPr/>
      </w:pPr>
      <w:r>
        <w:rPr/>
        <w:t xml:space="preserve">Fontes públicas (DF, ITR, release, normas) </w:t>
      </w:r>
      <w:r>
        <w:rPr>
          <w:b/>
          <w:bCs/>
        </w:rPr>
        <w:t>não são republicadas</w:t>
      </w:r>
      <w:r>
        <w:rPr/>
        <w:t>: são identificadas no Apêndice B com documento, página e endereço de origem.</w:t>
      </w:r>
      <w:r>
        <w:br w:type="page"/>
      </w:r>
    </w:p>
    <w:p>
      <w:pPr>
        <w:pStyle w:val="Heading1"/>
        <w:rPr/>
      </w:pPr>
      <w:bookmarkStart w:id="108" w:name="__RefHeading___Toc31571_1660191972"/>
      <w:bookmarkEnd w:id="108"/>
      <w:r>
        <w:rPr/>
        <w:t>Apêndice D — Minutas didáticas NÃO ENVIADAS (PT 260, PT 265 e PT 580)</w:t>
      </w:r>
    </w:p>
    <w:p>
      <w:pPr>
        <w:pStyle w:val="BlockText"/>
        <w:rPr/>
      </w:pPr>
      <w:r>
        <w:rPr>
          <w:b/>
          <w:bCs/>
        </w:rPr>
        <w:t>MODELOS DIDÁTICOS — NÃO ENVIADOS E NÃO ASSINADOS.</w:t>
      </w:r>
    </w:p>
    <w:p>
      <w:pPr>
        <w:pStyle w:val="Compact"/>
        <w:numPr>
          <w:ilvl w:val="0"/>
          <w:numId w:val="459"/>
        </w:numPr>
        <w:rPr/>
      </w:pPr>
      <w:r>
        <w:rPr/>
        <w:t>Nada foi enviado à CPFL, à sua governança, à administração, à PwC ou a terceiros, em nome da UnB ou de qualquer pessoa.</w:t>
      </w:r>
    </w:p>
    <w:p>
      <w:pPr>
        <w:pStyle w:val="Compact"/>
        <w:numPr>
          <w:ilvl w:val="0"/>
          <w:numId w:val="460"/>
        </w:numPr>
        <w:rPr/>
      </w:pPr>
      <w:r>
        <w:rPr/>
        <w:t xml:space="preserve">Os destinatários e os signatários aparecem só por </w:t>
      </w:r>
      <w:r>
        <w:rPr>
          <w:b/>
          <w:bCs/>
        </w:rPr>
        <w:t>cargo ou órgão</w:t>
      </w:r>
      <w:r>
        <w:rPr/>
        <w:t>, sem nomes.</w:t>
      </w:r>
    </w:p>
    <w:p>
      <w:pPr>
        <w:pStyle w:val="Compact"/>
        <w:numPr>
          <w:ilvl w:val="0"/>
          <w:numId w:val="461"/>
        </w:numPr>
        <w:rPr/>
      </w:pPr>
      <w:r>
        <w:rPr>
          <w:b/>
          <w:bCs/>
        </w:rPr>
        <w:t>Não há data</w:t>
      </w:r>
      <w:r>
        <w:rPr/>
        <w:t xml:space="preserve"> de relatório de auditoria, porque este trabalho não emite relatório. Campos de data e assinatura ficam em branco.</w:t>
      </w:r>
    </w:p>
    <w:p>
      <w:pPr>
        <w:pStyle w:val="Compact"/>
        <w:numPr>
          <w:ilvl w:val="0"/>
          <w:numId w:val="462"/>
        </w:numPr>
        <w:rPr/>
      </w:pPr>
      <w:r>
        <w:rPr/>
        <w:t xml:space="preserve">Cada assunto vem marcado: </w:t>
      </w:r>
      <w:r>
        <w:rPr>
          <w:b/>
          <w:bCs/>
        </w:rPr>
        <w:t>[Pub]</w:t>
      </w:r>
      <w:r>
        <w:rPr/>
        <w:t xml:space="preserve"> fato com evidência pública; </w:t>
      </w:r>
      <w:r>
        <w:rPr>
          <w:b/>
          <w:bCs/>
        </w:rPr>
        <w:t>[H]</w:t>
      </w:r>
      <w:r>
        <w:rPr/>
        <w:t xml:space="preserve"> hipótese que depende de acesso; </w:t>
      </w:r>
      <w:r>
        <w:rPr>
          <w:b/>
          <w:bCs/>
        </w:rPr>
        <w:t>[S]</w:t>
      </w:r>
      <w:r>
        <w:rPr/>
        <w:t xml:space="preserve"> resultado só da base sintética.</w:t>
      </w:r>
    </w:p>
    <w:p>
      <w:pPr>
        <w:pStyle w:val="Heading2"/>
        <w:rPr/>
      </w:pPr>
      <w:bookmarkStart w:id="109" w:name="__RefHeading___Toc31573_1660191972"/>
      <w:bookmarkStart w:id="110" w:name="X97b0be1ee64e56fc346df37d25e5626970b1006"/>
      <w:bookmarkEnd w:id="109"/>
      <w:r>
        <w:rPr/>
        <w:t>1. Comunicação com os responsáveis pela governança (NBC TA 260 (R2), itens 14–17 e 19; NORMAS p. 207–208) — NÃO ENVIADA</w:t>
      </w:r>
    </w:p>
    <w:p>
      <w:pPr>
        <w:pStyle w:val="BlockText"/>
        <w:rPr/>
      </w:pPr>
      <w:r>
        <w:rPr/>
        <w:t>Ao [Comitê de Auditoria] da CPFL Energia S.A., com cópia ao [Conselho de Administração] e ao [Conselho Fiscal] (órgãos confirmados na base da CVM, DFP 2025 — PT 260 seção 4)</w:t>
      </w:r>
    </w:p>
    <w:p>
      <w:pPr>
        <w:pStyle w:val="BlockText"/>
        <w:rPr/>
      </w:pPr>
      <w:r>
        <w:rPr/>
        <w:t>Ref.: Assuntos decorrentes do exame das demonstrações contábeis de 31 de dezembro de 2025</w:t>
      </w:r>
    </w:p>
    <w:p>
      <w:pPr>
        <w:pStyle w:val="BlockText"/>
        <w:rPr/>
      </w:pPr>
      <w:r>
        <w:rPr/>
        <w:t>Data: [campo em branco]</w:t>
      </w:r>
    </w:p>
    <w:p>
      <w:pPr>
        <w:pStyle w:val="BlockText"/>
        <w:rPr/>
      </w:pPr>
      <w:r>
        <w:rPr>
          <w:b/>
          <w:bCs/>
        </w:rPr>
        <w:t>1. Responsabilidades.</w:t>
      </w:r>
      <w:r>
        <w:rPr/>
        <w:t xml:space="preserve"> O exame foi planejado segundo as NBC TA. Ele não exime a administração nem a governança de suas responsabilidades pela elaboração das demonstrações contábeis e pelos controles internos.</w:t>
      </w:r>
    </w:p>
    <w:p>
      <w:pPr>
        <w:pStyle w:val="BlockText"/>
        <w:rPr/>
      </w:pPr>
      <w:r>
        <w:rPr>
          <w:b/>
          <w:bCs/>
        </w:rPr>
        <w:t>2. Alcance e época.</w:t>
      </w:r>
      <w:r>
        <w:rPr/>
        <w:t xml:space="preserve"> Demonstrações consolidadas; materialidade global de R$ 404.562 mil; riscos significativos: avaliação do ativo financeiro da concessão, ativo contratual, receita não faturada e burla de controles pela administração.</w:t>
      </w:r>
    </w:p>
    <w:p>
      <w:pPr>
        <w:pStyle w:val="BlockText"/>
        <w:rPr/>
      </w:pPr>
      <w:r>
        <w:rPr>
          <w:b/>
          <w:bCs/>
        </w:rPr>
        <w:t>3. Aspectos qualitativos das práticas contábeis.</w:t>
      </w:r>
    </w:p>
    <w:p>
      <w:pPr>
        <w:pStyle w:val="Compact"/>
        <w:numPr>
          <w:ilvl w:val="0"/>
          <w:numId w:val="463"/>
        </w:numPr>
        <w:rPr/>
      </w:pPr>
      <w:r>
        <w:rPr/>
        <w:t>[Pub] O valor justo do ativo financeiro da concessão é de nível 3 e muito sensível ao IPCA: ±1 p.p. altera o saldo em cerca de R$ 269 milhões (cálculo do preparador no PT 540, com dados da DF25 notas 11 e 34).</w:t>
      </w:r>
    </w:p>
    <w:p>
      <w:pPr>
        <w:pStyle w:val="Compact"/>
        <w:numPr>
          <w:ilvl w:val="0"/>
          <w:numId w:val="464"/>
        </w:numPr>
        <w:rPr/>
      </w:pPr>
      <w:r>
        <w:rPr/>
        <w:t>[Pub] A nota 1.3 (p. 44) descreve a renovação das concessões sem quantificar o efeito possível sobre a classificação do ativo. Em 2026, R$ 29.599.494 mil foram reclassificados para o intangível (ITR 2T26 nota 11, p. 49). Pedimos sua avaliação sobre a suficiência dessa divulgação.</w:t>
      </w:r>
    </w:p>
    <w:p>
      <w:pPr>
        <w:pStyle w:val="BlockText"/>
        <w:rPr/>
      </w:pPr>
      <w:r>
        <w:rPr>
          <w:b/>
          <w:bCs/>
        </w:rPr>
        <w:t>4. Assuntos a esclarecer com a administração.</w:t>
      </w:r>
    </w:p>
    <w:p>
      <w:pPr>
        <w:pStyle w:val="Compact"/>
        <w:numPr>
          <w:ilvl w:val="0"/>
          <w:numId w:val="465"/>
        </w:numPr>
        <w:rPr/>
      </w:pPr>
      <w:r>
        <w:rPr/>
        <w:t>[H] A atualização do VNR da CPFL Paulista em 2025 ficou cerca de R$ 150 milhões acima da nossa expectativa. Não há explicação pública.</w:t>
      </w:r>
    </w:p>
    <w:p>
      <w:pPr>
        <w:pStyle w:val="Compact"/>
        <w:numPr>
          <w:ilvl w:val="0"/>
          <w:numId w:val="466"/>
        </w:numPr>
        <w:rPr/>
      </w:pPr>
      <w:r>
        <w:rPr/>
        <w:t>[H] O débito do IRRF (caso Jantus), de R$ 139.291 mil em 31/12/2025, teve decisão definitiva antes da data do balanço. Não identificamos nas notas a rubrica em que foi reconhecido (DF25 nota 22, p. 96).</w:t>
      </w:r>
    </w:p>
    <w:p>
      <w:pPr>
        <w:pStyle w:val="BlockText"/>
        <w:rPr/>
      </w:pPr>
      <w:r>
        <w:rPr>
          <w:b/>
          <w:bCs/>
        </w:rPr>
        <w:t>5. Dificuldades.</w:t>
      </w:r>
      <w:r>
        <w:rPr/>
        <w:t xml:space="preserve"> Sem acesso a registros, sistemas, pessoas e terceiros. Nenhuma confirmação externa foi obtida.</w:t>
      </w:r>
    </w:p>
    <w:p>
      <w:pPr>
        <w:pStyle w:val="BlockText"/>
        <w:rPr/>
      </w:pPr>
      <w:r>
        <w:rPr>
          <w:b/>
          <w:bCs/>
        </w:rPr>
        <w:t>6. Distorções.</w:t>
      </w:r>
      <w:r>
        <w:rPr/>
        <w:t xml:space="preserve"> Nenhuma distorção real foi identificada com evidência pública. [S] Numa base </w:t>
      </w:r>
      <w:r>
        <w:rPr>
          <w:b/>
          <w:bCs/>
        </w:rPr>
        <w:t>sintética</w:t>
      </w:r>
      <w:r>
        <w:rPr/>
        <w:t xml:space="preserve"> do ativo financeiro, criada para fins didáticos, foram identificados R$ 117,5 milhões de superavaliação líquida. Esse valor </w:t>
      </w:r>
      <w:r>
        <w:rPr>
          <w:b/>
          <w:bCs/>
        </w:rPr>
        <w:t>não se refere aos registros da CPFL</w:t>
      </w:r>
      <w:r>
        <w:rPr/>
        <w:t>.</w:t>
      </w:r>
    </w:p>
    <w:p>
      <w:pPr>
        <w:pStyle w:val="BlockText"/>
        <w:rPr/>
      </w:pPr>
      <w:r>
        <w:rPr>
          <w:b/>
          <w:bCs/>
        </w:rPr>
        <w:t>7. Deficiências de controle.</w:t>
      </w:r>
      <w:r>
        <w:rPr/>
        <w:t xml:space="preserve"> Nenhuma deficiência significativa identificada (seção 2).</w:t>
      </w:r>
    </w:p>
    <w:p>
      <w:pPr>
        <w:pStyle w:val="BlockText"/>
        <w:rPr/>
      </w:pPr>
      <w:r>
        <w:rPr>
          <w:b/>
          <w:bCs/>
        </w:rPr>
        <w:t>8. Independência.</w:t>
      </w:r>
      <w:r>
        <w:rPr/>
        <w:t xml:space="preserve"> O preparador declara não ter vínculo com o Grupo CPFL e não ter prestado serviços à companhia.</w:t>
      </w:r>
    </w:p>
    <w:p>
      <w:pPr>
        <w:pStyle w:val="BlockText"/>
        <w:rPr/>
      </w:pPr>
      <w:bookmarkStart w:id="111" w:name="X97b0be1ee64e56fc346df37d25e5626970b1006"/>
      <w:r>
        <w:rPr/>
        <w:t>[Assinatura — campo em branco]</w:t>
      </w:r>
      <w:bookmarkEnd w:id="111"/>
    </w:p>
    <w:p>
      <w:pPr>
        <w:pStyle w:val="Heading2"/>
        <w:rPr/>
      </w:pPr>
      <w:bookmarkStart w:id="112" w:name="__RefHeading___Toc31575_1660191972"/>
      <w:bookmarkStart w:id="113" w:name="X1c8aad49a7b17fc061c8f79b7367a6dbb09dfc8"/>
      <w:bookmarkEnd w:id="112"/>
      <w:r>
        <w:rPr/>
        <w:t>2. Comunicação de deficiências de controle interno (NBC TA 265, itens 9–11; NORMAS p. 229–230) — NÃO ENVIADA</w:t>
      </w:r>
    </w:p>
    <w:p>
      <w:pPr>
        <w:pStyle w:val="BlockText"/>
        <w:rPr/>
      </w:pPr>
      <w:r>
        <w:rPr/>
        <w:t>À [Administração / órgão de governança] da CPFL Energia S.A.</w:t>
      </w:r>
    </w:p>
    <w:p>
      <w:pPr>
        <w:pStyle w:val="BlockText"/>
        <w:rPr/>
      </w:pPr>
      <w:r>
        <w:rPr/>
        <w:t>Data: [campo em branco]</w:t>
      </w:r>
    </w:p>
    <w:p>
      <w:pPr>
        <w:pStyle w:val="BlockText"/>
        <w:rPr/>
      </w:pPr>
      <w:r>
        <w:rPr>
          <w:b/>
          <w:bCs/>
        </w:rPr>
        <w:t>Finalidade (item 11(b)).</w:t>
      </w:r>
      <w:r>
        <w:rPr/>
        <w:t xml:space="preserve"> Nosso exame considerou os controles internos relevantes para planejar os procedimentos, e não para opinar sobre a sua eficácia. Os assuntos abaixo não são, necessariamente, todas as deficiências que existem.</w:t>
      </w:r>
    </w:p>
    <w:p>
      <w:pPr>
        <w:pStyle w:val="BlockText"/>
        <w:rPr/>
      </w:pPr>
      <w:r>
        <w:rPr>
          <w:b/>
          <w:bCs/>
        </w:rPr>
        <w:t>Deficiências significativas.</w:t>
      </w:r>
      <w:r>
        <w:rPr/>
        <w:t xml:space="preserve"> Nenhuma identificada.</w:t>
      </w:r>
    </w:p>
    <w:p>
      <w:pPr>
        <w:pStyle w:val="BlockText"/>
        <w:rPr/>
      </w:pPr>
      <w:r>
        <w:rPr>
          <w:b/>
          <w:bCs/>
        </w:rPr>
        <w:t>Assuntos a investigar (não caracterizados como deficiência):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Assunto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Por que não é deficiência ainda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DC-02 [H]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Controle de revisão do cálculo do VNR da CPFL Paulista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Variação sem explicação pública; pode haver explicação legítima</w:t>
            </w:r>
          </w:p>
        </w:tc>
      </w:tr>
      <w:tr>
        <w:trPr/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DC-03 [H]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Monitoramento jurídico-fiscal do IRRF Jantus</w:t>
            </w:r>
          </w:p>
        </w:tc>
        <w:tc>
          <w:tcPr>
            <w:tcW w:w="3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Reconhecimento não demonstrado nas notas; não verificado</w:t>
            </w:r>
          </w:p>
        </w:tc>
      </w:tr>
    </w:tbl>
    <w:p>
      <w:pPr>
        <w:pStyle w:val="BlockText"/>
        <w:rPr/>
      </w:pPr>
      <w:r>
        <w:rPr>
          <w:b/>
          <w:bCs/>
        </w:rPr>
        <w:t>Demonstração didática [S] — não se refere à CPFL.</w:t>
      </w:r>
      <w:r>
        <w:rPr/>
        <w:t xml:space="preserve"> Na base sintética foram encontrados bens duplicados, bens baixados com saldo, valores fora do recálculo e categorias incoerentes. Numa entidade real, isso indicaria falhas nos controles de unitização, baixa e cadastro. Recomendação ilustrativa: chave única por bem, baixa tempestiva e conciliação mensal cadastro × razão.</w:t>
      </w:r>
    </w:p>
    <w:p>
      <w:pPr>
        <w:pStyle w:val="BlockText"/>
        <w:rPr/>
      </w:pPr>
      <w:bookmarkStart w:id="114" w:name="X1c8aad49a7b17fc061c8f79b7367a6dbb09dfc8"/>
      <w:r>
        <w:rPr/>
        <w:t>[Assinatura — campo em branco]</w:t>
      </w:r>
      <w:bookmarkEnd w:id="114"/>
    </w:p>
    <w:p>
      <w:pPr>
        <w:pStyle w:val="Heading2"/>
        <w:rPr/>
      </w:pPr>
      <w:bookmarkStart w:id="115" w:name="__RefHeading___Toc31577_1660191972"/>
      <w:bookmarkStart w:id="116" w:name="X26a5fa872a801d0c1cb1f4c674c51def4273aa1"/>
      <w:bookmarkEnd w:id="115"/>
      <w:r>
        <w:rPr/>
        <w:t>3. Carta de representação (NBC TA 580 (R1), itens 9–15; NORMAS p. 663–664) — NÃO ENVIADA, SEM ASSINATURA</w:t>
      </w:r>
    </w:p>
    <w:p>
      <w:pPr>
        <w:pStyle w:val="BlockText"/>
        <w:rPr/>
      </w:pPr>
      <w:r>
        <w:rPr/>
        <w:t>[Papel timbrado da CPFL Energia S.A.]</w:t>
      </w:r>
    </w:p>
    <w:p>
      <w:pPr>
        <w:pStyle w:val="BlockText"/>
        <w:rPr/>
      </w:pPr>
      <w:r>
        <w:rPr/>
        <w:t>Aos [auditores independentes — campo em branco]</w:t>
      </w:r>
    </w:p>
    <w:p>
      <w:pPr>
        <w:pStyle w:val="BlockText"/>
        <w:rPr/>
      </w:pPr>
      <w:r>
        <w:rPr/>
        <w:t>Data: [campo em branco — seria a mais próxima possível da data do relatório do auditor, nunca posterior (item 14)]</w:t>
      </w:r>
    </w:p>
    <w:p>
      <w:pPr>
        <w:pStyle w:val="BlockText"/>
        <w:rPr/>
      </w:pPr>
      <w:r>
        <w:rPr/>
        <w:t>Esta carta é fornecida em conexão com o exame das demonstrações contábeis individuais e consolidadas da CPFL Energia S.A. de 31 de dezembro de 2025. Confirmamos, com base no nosso melhor conhecimento e após as indagações necessárias:</w:t>
      </w:r>
    </w:p>
    <w:p>
      <w:pPr>
        <w:pStyle w:val="BlockText"/>
        <w:rPr/>
      </w:pPr>
      <w:r>
        <w:rPr>
          <w:b/>
          <w:bCs/>
        </w:rPr>
        <w:t>Demonstrações contábeis (item 10)</w:t>
      </w:r>
    </w:p>
    <w:p>
      <w:pPr>
        <w:pStyle w:val="Compact"/>
        <w:numPr>
          <w:ilvl w:val="0"/>
          <w:numId w:val="467"/>
        </w:numPr>
        <w:rPr/>
      </w:pPr>
      <w:r>
        <w:rPr/>
        <w:t>Cumprimos nossa responsabilidade pela elaboração das demonstrações contábeis segundo as práticas contábeis adotadas no Brasil e as IFRS, conforme os termos do trabalho.</w:t>
      </w:r>
    </w:p>
    <w:p>
      <w:pPr>
        <w:pStyle w:val="BlockText"/>
        <w:rPr/>
      </w:pPr>
      <w:r>
        <w:rPr>
          <w:b/>
          <w:bCs/>
        </w:rPr>
        <w:t>Informações fornecidas (item 11)</w:t>
      </w:r>
    </w:p>
    <w:p>
      <w:pPr>
        <w:pStyle w:val="Compact"/>
        <w:numPr>
          <w:ilvl w:val="0"/>
          <w:numId w:val="468"/>
        </w:numPr>
        <w:rPr/>
      </w:pPr>
      <w:r>
        <w:rPr/>
        <w:t>Demos acesso a todas as informações relevantes, a informações adicionais solicitadas e às pessoas da entidade.</w:t>
      </w:r>
    </w:p>
    <w:p>
      <w:pPr>
        <w:pStyle w:val="Compact"/>
        <w:numPr>
          <w:ilvl w:val="0"/>
          <w:numId w:val="108"/>
        </w:numPr>
        <w:rPr/>
      </w:pPr>
      <w:r>
        <w:rPr/>
        <w:t>Todas as transações foram registradas e refletidas nas demonstrações contábeis.</w:t>
      </w:r>
    </w:p>
    <w:p>
      <w:pPr>
        <w:pStyle w:val="BlockText"/>
        <w:rPr/>
      </w:pPr>
      <w:r>
        <w:rPr>
          <w:b/>
          <w:bCs/>
        </w:rPr>
        <w:t>Representações específicas (item 13 e outras NBC TA)</w:t>
      </w:r>
    </w:p>
    <w:p>
      <w:pPr>
        <w:pStyle w:val="Compact"/>
        <w:numPr>
          <w:ilvl w:val="0"/>
          <w:numId w:val="469"/>
        </w:numPr>
        <w:rPr/>
      </w:pPr>
      <w:r>
        <w:rPr>
          <w:i/>
          <w:iCs/>
        </w:rPr>
        <w:t>Fraude (NBC TA 240):</w:t>
      </w:r>
      <w:r>
        <w:rPr/>
        <w:t xml:space="preserve"> somos responsáveis pelos controles de prevenção e detecção de fraude; divulgamos o resultado da nossa avaliação de risco e todo conhecimento de fraude, suspeita ou alegação.</w:t>
      </w:r>
    </w:p>
    <w:p>
      <w:pPr>
        <w:pStyle w:val="Compact"/>
        <w:numPr>
          <w:ilvl w:val="0"/>
          <w:numId w:val="109"/>
        </w:numPr>
        <w:rPr/>
      </w:pPr>
      <w:r>
        <w:rPr>
          <w:i/>
          <w:iCs/>
        </w:rPr>
        <w:t>Leis e regulamentos (NBC TA 250):</w:t>
      </w:r>
      <w:r>
        <w:rPr/>
        <w:t xml:space="preserve"> divulgamos todos os casos conhecidos de descumprimento de leis e da regulação da ANEEL.</w:t>
      </w:r>
    </w:p>
    <w:p>
      <w:pPr>
        <w:pStyle w:val="Compact"/>
        <w:numPr>
          <w:ilvl w:val="0"/>
          <w:numId w:val="109"/>
        </w:numPr>
        <w:rPr/>
      </w:pPr>
      <w:r>
        <w:rPr>
          <w:i/>
          <w:iCs/>
        </w:rPr>
        <w:t>Distorções não corrigidas (NBC TA 450, item 14):</w:t>
      </w:r>
      <w:r>
        <w:rPr/>
        <w:t xml:space="preserve"> os efeitos das distorções não corrigidas, listadas em anexo, são imateriais, individualmente e em conjunto. [Anexo — em branco: nenhuma distorção real identificada]</w:t>
      </w:r>
    </w:p>
    <w:p>
      <w:pPr>
        <w:pStyle w:val="Compact"/>
        <w:numPr>
          <w:ilvl w:val="0"/>
          <w:numId w:val="109"/>
        </w:numPr>
        <w:rPr/>
      </w:pPr>
      <w:r>
        <w:rPr>
          <w:i/>
          <w:iCs/>
        </w:rPr>
        <w:t>Litígios (NBC TA 501, item 12):</w:t>
      </w:r>
      <w:r>
        <w:rPr/>
        <w:t xml:space="preserve"> todos os litígios e reclamações conhecidos foram informados e contabilizados ou divulgados. O débito do IRRF do caso Jantus foi reconhecido em 31/12/2025 na rubrica [campo em branco].</w:t>
      </w:r>
    </w:p>
    <w:p>
      <w:pPr>
        <w:pStyle w:val="Compact"/>
        <w:numPr>
          <w:ilvl w:val="0"/>
          <w:numId w:val="109"/>
        </w:numPr>
        <w:rPr/>
      </w:pPr>
      <w:r>
        <w:rPr>
          <w:i/>
          <w:iCs/>
        </w:rPr>
        <w:t>Estimativas (NBC TA 540):</w:t>
      </w:r>
      <w:r>
        <w:rPr/>
        <w:t xml:space="preserve"> os métodos, premissas e dados das estimativas são adequados, inclusive o VNR do ativo financeiro da concessão (IPCA e base de remuneração). A variação de 2025 na CPFL Paulista decorre de [campo em branco].</w:t>
      </w:r>
    </w:p>
    <w:p>
      <w:pPr>
        <w:pStyle w:val="Compact"/>
        <w:numPr>
          <w:ilvl w:val="0"/>
          <w:numId w:val="109"/>
        </w:numPr>
        <w:rPr/>
      </w:pPr>
      <w:r>
        <w:rPr>
          <w:i/>
          <w:iCs/>
        </w:rPr>
        <w:t>Renovação das concessões:</w:t>
      </w:r>
      <w:r>
        <w:rPr/>
        <w:t xml:space="preserve"> as informações sobre os efeitos esperados dos aditivos estão adequadamente divulgadas.</w:t>
      </w:r>
    </w:p>
    <w:p>
      <w:pPr>
        <w:pStyle w:val="Compact"/>
        <w:numPr>
          <w:ilvl w:val="0"/>
          <w:numId w:val="109"/>
        </w:numPr>
        <w:rPr/>
      </w:pPr>
      <w:r>
        <w:rPr>
          <w:i/>
          <w:iCs/>
        </w:rPr>
        <w:t>Partes relacionadas (NBC TA 550):</w:t>
      </w:r>
      <w:r>
        <w:rPr/>
        <w:t xml:space="preserve"> informamos a identidade das partes relacionadas e todas as transações e saldos com elas, inclusive os contratos de mútuo com a State Grid Europe Limited.</w:t>
      </w:r>
    </w:p>
    <w:p>
      <w:pPr>
        <w:pStyle w:val="Compact"/>
        <w:numPr>
          <w:ilvl w:val="0"/>
          <w:numId w:val="109"/>
        </w:numPr>
        <w:rPr/>
      </w:pPr>
      <w:r>
        <w:rPr>
          <w:i/>
          <w:iCs/>
        </w:rPr>
        <w:t>Eventos subsequentes (NBC TA 560, item 9):</w:t>
      </w:r>
      <w:r>
        <w:rPr/>
        <w:t xml:space="preserve"> todos os eventos posteriores a 31/12/2025 que exigem ajuste ou divulgação foram ajustados ou divulgados.</w:t>
      </w:r>
    </w:p>
    <w:p>
      <w:pPr>
        <w:pStyle w:val="Compact"/>
        <w:numPr>
          <w:ilvl w:val="0"/>
          <w:numId w:val="109"/>
        </w:numPr>
        <w:rPr/>
      </w:pPr>
      <w:r>
        <w:rPr>
          <w:i/>
          <w:iCs/>
        </w:rPr>
        <w:t>Continuidade (NBC TA 570):</w:t>
      </w:r>
      <w:r>
        <w:rPr/>
        <w:t xml:space="preserve"> temos planos para os vencimentos de curto prazo e não houve descumprimento de cláusulas restritivas (</w:t>
      </w:r>
      <w:r>
        <w:rPr>
          <w:i/>
          <w:iCs/>
        </w:rPr>
        <w:t>covenants</w:t>
      </w:r>
      <w:r>
        <w:rPr/>
        <w:t>).</w:t>
      </w:r>
    </w:p>
    <w:p>
      <w:pPr>
        <w:pStyle w:val="BlockText"/>
        <w:rPr/>
      </w:pPr>
      <w:r>
        <w:rPr/>
        <w:t>[Diretor-presidente — assinatura em branco]</w:t>
      </w:r>
    </w:p>
    <w:p>
      <w:pPr>
        <w:pStyle w:val="BlockText"/>
        <w:rPr/>
      </w:pPr>
      <w:bookmarkStart w:id="117" w:name="X26a5fa872a801d0c1cb1f4c674c51def4273aa1"/>
      <w:r>
        <w:rPr/>
        <w:t>[Diretor financeiro — assinatura em branco]</w:t>
      </w:r>
      <w:bookmarkEnd w:id="117"/>
    </w:p>
    <w:p>
      <w:pPr>
        <w:pStyle w:val="Heading2"/>
        <w:rPr/>
      </w:pPr>
      <w:bookmarkStart w:id="118" w:name="__RefHeading___Toc31579_1660191972"/>
      <w:bookmarkEnd w:id="118"/>
      <w:r>
        <w:rPr/>
        <w:t>4. Situação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85"/>
        <w:gridCol w:w="4986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Ref.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6" w:space="0" w:color="000000"/>
              <w:right w:val="single" w:sz="4" w:space="0" w:color="A6A6A6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Situação</w:t>
            </w:r>
          </w:p>
        </w:tc>
      </w:tr>
      <w:tr>
        <w:trPr/>
        <w:tc>
          <w:tcPr>
            <w:tcW w:w="4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kern w:val="0"/>
                <w:sz w:val="17"/>
                <w:szCs w:val="24"/>
                <w:lang w:val="pt-BR" w:eastAsia="en-US" w:bidi="ar-SA"/>
              </w:rPr>
              <w:t>Seções 1 a 3</w:t>
            </w:r>
          </w:p>
        </w:tc>
        <w:tc>
          <w:tcPr>
            <w:tcW w:w="4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pt-BR" w:eastAsia="en-US" w:bidi="ar-SA"/>
              </w:rPr>
              <w:t>MODELO DIDÁTICO — NÃO ENVIADO, NÃO ASSINADO, SEM DATA.</w:t>
            </w:r>
            <w:r>
              <w:rPr>
                <w:kern w:val="0"/>
                <w:sz w:val="17"/>
                <w:szCs w:val="24"/>
                <w:lang w:val="pt-BR" w:eastAsia="en-US" w:bidi="ar-SA"/>
              </w:rPr>
              <w:t xml:space="preserve"> Nenhuma resposta e nenhuma representação foi obtida</w:t>
            </w:r>
            <w:bookmarkStart w:id="119" w:name="Xc5fc36f922da36cd5c01a7fcaf0cdb8d37548cd"/>
            <w:bookmarkStart w:id="120" w:name="situação"/>
            <w:bookmarkEnd w:id="119"/>
            <w:bookmarkEnd w:id="120"/>
          </w:p>
        </w:tc>
      </w:tr>
    </w:tbl>
    <w:sectPr>
      <w:footerReference w:type="even" r:id="rId3"/>
      <w:footerReference w:type="default" r:id="rId4"/>
      <w:footerReference w:type="first" r:id="rId5"/>
      <w:type w:val="nextPage"/>
      <w:pgSz w:w="12240" w:h="15840"/>
      <w:pgMar w:left="1134" w:right="1134" w:gutter="0" w:header="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sz w:val="16"/>
      </w:rPr>
      <w:t xml:space="preserve">Exercício acadêmico sem asseguração · Cauã Victor Araújo Pimentel · Mat. 231020069 · v1.0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105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105</w:t>
    </w:r>
    <w:r>
      <w:rPr>
        <w:sz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sz w:val="16"/>
      </w:rPr>
      <w:t xml:space="preserve">Exercício acadêmico sem asseguração · Cauã Victor Araújo Pimentel · Mat. 231020069 · v1.0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105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105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lowerLetter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lowerLetter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lowerLetter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lowerLetter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lowerLetter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lowerLetter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9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3"/>
    <w:lvlOverride w:ilvl="0">
      <w:startOverride w:val="1"/>
    </w:lvlOverride>
  </w:num>
  <w:num w:numId="112">
    <w:abstractNumId w:val="2"/>
  </w:num>
  <w:num w:numId="113">
    <w:abstractNumId w:val="2"/>
  </w:num>
  <w:num w:numId="114">
    <w:abstractNumId w:val="2"/>
  </w:num>
  <w:num w:numId="115">
    <w:abstractNumId w:val="5"/>
    <w:lvlOverride w:ilvl="0">
      <w:startOverride w:val="1"/>
    </w:lvlOverride>
  </w:num>
  <w:num w:numId="116">
    <w:abstractNumId w:val="3"/>
    <w:lvlOverride w:ilvl="0">
      <w:startOverride w:val="1"/>
    </w:lvlOverride>
  </w:num>
  <w:num w:numId="117">
    <w:abstractNumId w:val="3"/>
  </w:num>
  <w:num w:numId="118">
    <w:abstractNumId w:val="3"/>
  </w:num>
  <w:num w:numId="119">
    <w:abstractNumId w:val="3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  <w:num w:numId="124">
    <w:abstractNumId w:val="2"/>
  </w:num>
  <w:num w:numId="125">
    <w:abstractNumId w:val="2"/>
  </w:num>
  <w:num w:numId="126">
    <w:abstractNumId w:val="2"/>
  </w:num>
  <w:num w:numId="127">
    <w:abstractNumId w:val="2"/>
  </w:num>
  <w:num w:numId="128">
    <w:abstractNumId w:val="2"/>
  </w:num>
  <w:num w:numId="129">
    <w:abstractNumId w:val="2"/>
  </w:num>
  <w:num w:numId="130">
    <w:abstractNumId w:val="2"/>
  </w:num>
  <w:num w:numId="131">
    <w:abstractNumId w:val="2"/>
  </w:num>
  <w:num w:numId="132">
    <w:abstractNumId w:val="2"/>
  </w:num>
  <w:num w:numId="133">
    <w:abstractNumId w:val="2"/>
  </w:num>
  <w:num w:numId="134">
    <w:abstractNumId w:val="2"/>
  </w:num>
  <w:num w:numId="135">
    <w:abstractNumId w:val="2"/>
  </w:num>
  <w:num w:numId="136">
    <w:abstractNumId w:val="2"/>
  </w:num>
  <w:num w:numId="137">
    <w:abstractNumId w:val="2"/>
  </w:num>
  <w:num w:numId="138">
    <w:abstractNumId w:val="2"/>
  </w:num>
  <w:num w:numId="139">
    <w:abstractNumId w:val="2"/>
  </w:num>
  <w:num w:numId="140">
    <w:abstractNumId w:val="2"/>
  </w:num>
  <w:num w:numId="141">
    <w:abstractNumId w:val="2"/>
  </w:num>
  <w:num w:numId="142">
    <w:abstractNumId w:val="3"/>
    <w:lvlOverride w:ilvl="0">
      <w:startOverride w:val="1"/>
    </w:lvlOverride>
  </w:num>
  <w:num w:numId="143">
    <w:abstractNumId w:val="3"/>
  </w:num>
  <w:num w:numId="144">
    <w:abstractNumId w:val="3"/>
  </w:num>
  <w:num w:numId="145">
    <w:abstractNumId w:val="3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  <w:num w:numId="155">
    <w:abstractNumId w:val="2"/>
  </w:num>
  <w:num w:numId="156">
    <w:abstractNumId w:val="2"/>
  </w:num>
  <w:num w:numId="157">
    <w:abstractNumId w:val="2"/>
  </w:num>
  <w:num w:numId="158">
    <w:abstractNumId w:val="2"/>
  </w:num>
  <w:num w:numId="159">
    <w:abstractNumId w:val="2"/>
  </w:num>
  <w:num w:numId="160">
    <w:abstractNumId w:val="2"/>
  </w:num>
  <w:num w:numId="161">
    <w:abstractNumId w:val="2"/>
  </w:num>
  <w:num w:numId="162">
    <w:abstractNumId w:val="2"/>
  </w:num>
  <w:num w:numId="163">
    <w:abstractNumId w:val="2"/>
  </w:num>
  <w:num w:numId="164">
    <w:abstractNumId w:val="2"/>
  </w:num>
  <w:num w:numId="165">
    <w:abstractNumId w:val="2"/>
  </w:num>
  <w:num w:numId="166">
    <w:abstractNumId w:val="2"/>
  </w:num>
  <w:num w:numId="167">
    <w:abstractNumId w:val="2"/>
  </w:num>
  <w:num w:numId="168">
    <w:abstractNumId w:val="2"/>
  </w:num>
  <w:num w:numId="169">
    <w:abstractNumId w:val="2"/>
  </w:num>
  <w:num w:numId="170">
    <w:abstractNumId w:val="2"/>
  </w:num>
  <w:num w:numId="171">
    <w:abstractNumId w:val="2"/>
  </w:num>
  <w:num w:numId="172">
    <w:abstractNumId w:val="2"/>
  </w:num>
  <w:num w:numId="173">
    <w:abstractNumId w:val="2"/>
  </w:num>
  <w:num w:numId="174">
    <w:abstractNumId w:val="2"/>
  </w:num>
  <w:num w:numId="175">
    <w:abstractNumId w:val="2"/>
  </w:num>
  <w:num w:numId="176">
    <w:abstractNumId w:val="2"/>
  </w:num>
  <w:num w:numId="177">
    <w:abstractNumId w:val="2"/>
  </w:num>
  <w:num w:numId="178">
    <w:abstractNumId w:val="2"/>
  </w:num>
  <w:num w:numId="179">
    <w:abstractNumId w:val="2"/>
  </w:num>
  <w:num w:numId="180">
    <w:abstractNumId w:val="2"/>
  </w:num>
  <w:num w:numId="181">
    <w:abstractNumId w:val="2"/>
  </w:num>
  <w:num w:numId="182">
    <w:abstractNumId w:val="2"/>
  </w:num>
  <w:num w:numId="183">
    <w:abstractNumId w:val="2"/>
  </w:num>
  <w:num w:numId="184">
    <w:abstractNumId w:val="2"/>
  </w:num>
  <w:num w:numId="185">
    <w:abstractNumId w:val="2"/>
  </w:num>
  <w:num w:numId="186">
    <w:abstractNumId w:val="2"/>
  </w:num>
  <w:num w:numId="187">
    <w:abstractNumId w:val="2"/>
  </w:num>
  <w:num w:numId="188">
    <w:abstractNumId w:val="2"/>
  </w:num>
  <w:num w:numId="189">
    <w:abstractNumId w:val="2"/>
  </w:num>
  <w:num w:numId="190">
    <w:abstractNumId w:val="2"/>
  </w:num>
  <w:num w:numId="191">
    <w:abstractNumId w:val="2"/>
  </w:num>
  <w:num w:numId="192">
    <w:abstractNumId w:val="2"/>
  </w:num>
  <w:num w:numId="193">
    <w:abstractNumId w:val="2"/>
  </w:num>
  <w:num w:numId="194">
    <w:abstractNumId w:val="2"/>
  </w:num>
  <w:num w:numId="195">
    <w:abstractNumId w:val="2"/>
  </w:num>
  <w:num w:numId="196">
    <w:abstractNumId w:val="2"/>
  </w:num>
  <w:num w:numId="197">
    <w:abstractNumId w:val="2"/>
  </w:num>
  <w:num w:numId="198">
    <w:abstractNumId w:val="2"/>
  </w:num>
  <w:num w:numId="199">
    <w:abstractNumId w:val="2"/>
  </w:num>
  <w:num w:numId="200">
    <w:abstractNumId w:val="2"/>
  </w:num>
  <w:num w:numId="201">
    <w:abstractNumId w:val="2"/>
  </w:num>
  <w:num w:numId="202">
    <w:abstractNumId w:val="2"/>
  </w:num>
  <w:num w:numId="203">
    <w:abstractNumId w:val="2"/>
  </w:num>
  <w:num w:numId="204">
    <w:abstractNumId w:val="2"/>
  </w:num>
  <w:num w:numId="205">
    <w:abstractNumId w:val="2"/>
  </w:num>
  <w:num w:numId="206">
    <w:abstractNumId w:val="2"/>
  </w:num>
  <w:num w:numId="207">
    <w:abstractNumId w:val="2"/>
  </w:num>
  <w:num w:numId="208">
    <w:abstractNumId w:val="2"/>
  </w:num>
  <w:num w:numId="209">
    <w:abstractNumId w:val="2"/>
  </w:num>
  <w:num w:numId="210">
    <w:abstractNumId w:val="2"/>
  </w:num>
  <w:num w:numId="211">
    <w:abstractNumId w:val="2"/>
  </w:num>
  <w:num w:numId="212">
    <w:abstractNumId w:val="2"/>
  </w:num>
  <w:num w:numId="213">
    <w:abstractNumId w:val="2"/>
  </w:num>
  <w:num w:numId="214">
    <w:abstractNumId w:val="2"/>
  </w:num>
  <w:num w:numId="215">
    <w:abstractNumId w:val="2"/>
  </w:num>
  <w:num w:numId="216">
    <w:abstractNumId w:val="2"/>
  </w:num>
  <w:num w:numId="217">
    <w:abstractNumId w:val="2"/>
  </w:num>
  <w:num w:numId="218">
    <w:abstractNumId w:val="2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2"/>
  </w:num>
  <w:num w:numId="224">
    <w:abstractNumId w:val="2"/>
  </w:num>
  <w:num w:numId="225">
    <w:abstractNumId w:val="2"/>
  </w:num>
  <w:num w:numId="226">
    <w:abstractNumId w:val="2"/>
  </w:num>
  <w:num w:numId="227">
    <w:abstractNumId w:val="2"/>
  </w:num>
  <w:num w:numId="228">
    <w:abstractNumId w:val="2"/>
  </w:num>
  <w:num w:numId="229">
    <w:abstractNumId w:val="2"/>
  </w:num>
  <w:num w:numId="230">
    <w:abstractNumId w:val="2"/>
  </w:num>
  <w:num w:numId="231">
    <w:abstractNumId w:val="2"/>
  </w:num>
  <w:num w:numId="232">
    <w:abstractNumId w:val="2"/>
  </w:num>
  <w:num w:numId="233">
    <w:abstractNumId w:val="2"/>
  </w:num>
  <w:num w:numId="234">
    <w:abstractNumId w:val="2"/>
  </w:num>
  <w:num w:numId="235">
    <w:abstractNumId w:val="2"/>
  </w:num>
  <w:num w:numId="236">
    <w:abstractNumId w:val="2"/>
  </w:num>
  <w:num w:numId="237">
    <w:abstractNumId w:val="2"/>
  </w:num>
  <w:num w:numId="238">
    <w:abstractNumId w:val="2"/>
  </w:num>
  <w:num w:numId="239">
    <w:abstractNumId w:val="2"/>
  </w:num>
  <w:num w:numId="240">
    <w:abstractNumId w:val="2"/>
  </w:num>
  <w:num w:numId="241">
    <w:abstractNumId w:val="2"/>
  </w:num>
  <w:num w:numId="242">
    <w:abstractNumId w:val="2"/>
  </w:num>
  <w:num w:numId="243">
    <w:abstractNumId w:val="2"/>
  </w:num>
  <w:num w:numId="244">
    <w:abstractNumId w:val="2"/>
  </w:num>
  <w:num w:numId="245">
    <w:abstractNumId w:val="2"/>
  </w:num>
  <w:num w:numId="246">
    <w:abstractNumId w:val="2"/>
  </w:num>
  <w:num w:numId="247">
    <w:abstractNumId w:val="2"/>
  </w:num>
  <w:num w:numId="248">
    <w:abstractNumId w:val="2"/>
  </w:num>
  <w:num w:numId="249">
    <w:abstractNumId w:val="2"/>
  </w:num>
  <w:num w:numId="250">
    <w:abstractNumId w:val="2"/>
  </w:num>
  <w:num w:numId="251">
    <w:abstractNumId w:val="2"/>
  </w:num>
  <w:num w:numId="252">
    <w:abstractNumId w:val="2"/>
  </w:num>
  <w:num w:numId="253">
    <w:abstractNumId w:val="2"/>
  </w:num>
  <w:num w:numId="254">
    <w:abstractNumId w:val="2"/>
  </w:num>
  <w:num w:numId="255">
    <w:abstractNumId w:val="2"/>
  </w:num>
  <w:num w:numId="256">
    <w:abstractNumId w:val="2"/>
  </w:num>
  <w:num w:numId="257">
    <w:abstractNumId w:val="2"/>
  </w:num>
  <w:num w:numId="258">
    <w:abstractNumId w:val="2"/>
  </w:num>
  <w:num w:numId="259">
    <w:abstractNumId w:val="2"/>
  </w:num>
  <w:num w:numId="260">
    <w:abstractNumId w:val="2"/>
  </w:num>
  <w:num w:numId="261">
    <w:abstractNumId w:val="2"/>
  </w:num>
  <w:num w:numId="262">
    <w:abstractNumId w:val="2"/>
  </w:num>
  <w:num w:numId="263">
    <w:abstractNumId w:val="2"/>
  </w:num>
  <w:num w:numId="264">
    <w:abstractNumId w:val="2"/>
  </w:num>
  <w:num w:numId="265">
    <w:abstractNumId w:val="2"/>
  </w:num>
  <w:num w:numId="266">
    <w:abstractNumId w:val="2"/>
  </w:num>
  <w:num w:numId="267">
    <w:abstractNumId w:val="2"/>
  </w:num>
  <w:num w:numId="268">
    <w:abstractNumId w:val="2"/>
  </w:num>
  <w:num w:numId="269">
    <w:abstractNumId w:val="2"/>
  </w:num>
  <w:num w:numId="270">
    <w:abstractNumId w:val="2"/>
  </w:num>
  <w:num w:numId="271">
    <w:abstractNumId w:val="2"/>
  </w:num>
  <w:num w:numId="272">
    <w:abstractNumId w:val="2"/>
  </w:num>
  <w:num w:numId="273">
    <w:abstractNumId w:val="2"/>
  </w:num>
  <w:num w:numId="274">
    <w:abstractNumId w:val="2"/>
  </w:num>
  <w:num w:numId="275">
    <w:abstractNumId w:val="2"/>
  </w:num>
  <w:num w:numId="276">
    <w:abstractNumId w:val="2"/>
  </w:num>
  <w:num w:numId="277">
    <w:abstractNumId w:val="2"/>
  </w:num>
  <w:num w:numId="278">
    <w:abstractNumId w:val="2"/>
  </w:num>
  <w:num w:numId="279">
    <w:abstractNumId w:val="2"/>
  </w:num>
  <w:num w:numId="280">
    <w:abstractNumId w:val="2"/>
  </w:num>
  <w:num w:numId="281">
    <w:abstractNumId w:val="2"/>
  </w:num>
  <w:num w:numId="282">
    <w:abstractNumId w:val="2"/>
  </w:num>
  <w:num w:numId="283">
    <w:abstractNumId w:val="2"/>
  </w:num>
  <w:num w:numId="284">
    <w:abstractNumId w:val="2"/>
  </w:num>
  <w:num w:numId="285">
    <w:abstractNumId w:val="2"/>
  </w:num>
  <w:num w:numId="286">
    <w:abstractNumId w:val="2"/>
  </w:num>
  <w:num w:numId="287">
    <w:abstractNumId w:val="2"/>
  </w:num>
  <w:num w:numId="288">
    <w:abstractNumId w:val="2"/>
  </w:num>
  <w:num w:numId="289">
    <w:abstractNumId w:val="2"/>
  </w:num>
  <w:num w:numId="290">
    <w:abstractNumId w:val="2"/>
  </w:num>
  <w:num w:numId="291">
    <w:abstractNumId w:val="2"/>
  </w:num>
  <w:num w:numId="292">
    <w:abstractNumId w:val="2"/>
  </w:num>
  <w:num w:numId="293">
    <w:abstractNumId w:val="2"/>
  </w:num>
  <w:num w:numId="294">
    <w:abstractNumId w:val="2"/>
  </w:num>
  <w:num w:numId="295">
    <w:abstractNumId w:val="2"/>
  </w:num>
  <w:num w:numId="296">
    <w:abstractNumId w:val="2"/>
  </w:num>
  <w:num w:numId="297">
    <w:abstractNumId w:val="2"/>
  </w:num>
  <w:num w:numId="298">
    <w:abstractNumId w:val="2"/>
  </w:num>
  <w:num w:numId="299">
    <w:abstractNumId w:val="2"/>
  </w:num>
  <w:num w:numId="300">
    <w:abstractNumId w:val="2"/>
  </w:num>
  <w:num w:numId="301">
    <w:abstractNumId w:val="2"/>
  </w:num>
  <w:num w:numId="302">
    <w:abstractNumId w:val="2"/>
  </w:num>
  <w:num w:numId="303">
    <w:abstractNumId w:val="2"/>
  </w:num>
  <w:num w:numId="304">
    <w:abstractNumId w:val="2"/>
  </w:num>
  <w:num w:numId="305">
    <w:abstractNumId w:val="2"/>
  </w:num>
  <w:num w:numId="306">
    <w:abstractNumId w:val="2"/>
  </w:num>
  <w:num w:numId="307">
    <w:abstractNumId w:val="2"/>
  </w:num>
  <w:num w:numId="308">
    <w:abstractNumId w:val="2"/>
  </w:num>
  <w:num w:numId="309">
    <w:abstractNumId w:val="2"/>
  </w:num>
  <w:num w:numId="310">
    <w:abstractNumId w:val="2"/>
  </w:num>
  <w:num w:numId="311">
    <w:abstractNumId w:val="2"/>
  </w:num>
  <w:num w:numId="312">
    <w:abstractNumId w:val="2"/>
  </w:num>
  <w:num w:numId="313">
    <w:abstractNumId w:val="2"/>
  </w:num>
  <w:num w:numId="314">
    <w:abstractNumId w:val="2"/>
  </w:num>
  <w:num w:numId="315">
    <w:abstractNumId w:val="2"/>
  </w:num>
  <w:num w:numId="316">
    <w:abstractNumId w:val="2"/>
  </w:num>
  <w:num w:numId="317">
    <w:abstractNumId w:val="2"/>
  </w:num>
  <w:num w:numId="318">
    <w:abstractNumId w:val="2"/>
  </w:num>
  <w:num w:numId="319">
    <w:abstractNumId w:val="2"/>
  </w:num>
  <w:num w:numId="320">
    <w:abstractNumId w:val="2"/>
  </w:num>
  <w:num w:numId="321">
    <w:abstractNumId w:val="2"/>
  </w:num>
  <w:num w:numId="322">
    <w:abstractNumId w:val="2"/>
  </w:num>
  <w:num w:numId="323">
    <w:abstractNumId w:val="2"/>
  </w:num>
  <w:num w:numId="324">
    <w:abstractNumId w:val="2"/>
  </w:num>
  <w:num w:numId="325">
    <w:abstractNumId w:val="2"/>
  </w:num>
  <w:num w:numId="326">
    <w:abstractNumId w:val="2"/>
  </w:num>
  <w:num w:numId="327">
    <w:abstractNumId w:val="2"/>
  </w:num>
  <w:num w:numId="328">
    <w:abstractNumId w:val="2"/>
  </w:num>
  <w:num w:numId="329">
    <w:abstractNumId w:val="2"/>
  </w:num>
  <w:num w:numId="330">
    <w:abstractNumId w:val="2"/>
  </w:num>
  <w:num w:numId="331">
    <w:abstractNumId w:val="3"/>
    <w:lvlOverride w:ilvl="0">
      <w:startOverride w:val="1"/>
    </w:lvlOverride>
  </w:num>
  <w:num w:numId="332">
    <w:abstractNumId w:val="3"/>
  </w:num>
  <w:num w:numId="333">
    <w:abstractNumId w:val="3"/>
  </w:num>
  <w:num w:numId="334">
    <w:abstractNumId w:val="3"/>
  </w:num>
  <w:num w:numId="335">
    <w:abstractNumId w:val="3"/>
  </w:num>
  <w:num w:numId="336">
    <w:abstractNumId w:val="3"/>
  </w:num>
  <w:num w:numId="337">
    <w:abstractNumId w:val="2"/>
  </w:num>
  <w:num w:numId="338">
    <w:abstractNumId w:val="2"/>
  </w:num>
  <w:num w:numId="339">
    <w:abstractNumId w:val="2"/>
  </w:num>
  <w:num w:numId="340">
    <w:abstractNumId w:val="2"/>
  </w:num>
  <w:num w:numId="341">
    <w:abstractNumId w:val="2"/>
  </w:num>
  <w:num w:numId="342">
    <w:abstractNumId w:val="2"/>
  </w:num>
  <w:num w:numId="343">
    <w:abstractNumId w:val="2"/>
  </w:num>
  <w:num w:numId="344">
    <w:abstractNumId w:val="2"/>
  </w:num>
  <w:num w:numId="345">
    <w:abstractNumId w:val="2"/>
  </w:num>
  <w:num w:numId="346">
    <w:abstractNumId w:val="2"/>
  </w:num>
  <w:num w:numId="347">
    <w:abstractNumId w:val="2"/>
  </w:num>
  <w:num w:numId="348">
    <w:abstractNumId w:val="2"/>
  </w:num>
  <w:num w:numId="349">
    <w:abstractNumId w:val="2"/>
  </w:num>
  <w:num w:numId="350">
    <w:abstractNumId w:val="2"/>
  </w:num>
  <w:num w:numId="351">
    <w:abstractNumId w:val="2"/>
  </w:num>
  <w:num w:numId="352">
    <w:abstractNumId w:val="2"/>
  </w:num>
  <w:num w:numId="353">
    <w:abstractNumId w:val="2"/>
  </w:num>
  <w:num w:numId="354">
    <w:abstractNumId w:val="2"/>
  </w:num>
  <w:num w:numId="355">
    <w:abstractNumId w:val="2"/>
  </w:num>
  <w:num w:numId="356">
    <w:abstractNumId w:val="2"/>
  </w:num>
  <w:num w:numId="357">
    <w:abstractNumId w:val="2"/>
  </w:num>
  <w:num w:numId="358">
    <w:abstractNumId w:val="2"/>
  </w:num>
  <w:num w:numId="359">
    <w:abstractNumId w:val="2"/>
  </w:num>
  <w:num w:numId="360">
    <w:abstractNumId w:val="2"/>
  </w:num>
  <w:num w:numId="361">
    <w:abstractNumId w:val="2"/>
  </w:num>
  <w:num w:numId="362">
    <w:abstractNumId w:val="2"/>
  </w:num>
  <w:num w:numId="363">
    <w:abstractNumId w:val="2"/>
  </w:num>
  <w:num w:numId="364">
    <w:abstractNumId w:val="2"/>
  </w:num>
  <w:num w:numId="365">
    <w:abstractNumId w:val="2"/>
  </w:num>
  <w:num w:numId="366">
    <w:abstractNumId w:val="2"/>
  </w:num>
  <w:num w:numId="367">
    <w:abstractNumId w:val="2"/>
  </w:num>
  <w:num w:numId="368">
    <w:abstractNumId w:val="2"/>
  </w:num>
  <w:num w:numId="369">
    <w:abstractNumId w:val="2"/>
  </w:num>
  <w:num w:numId="370">
    <w:abstractNumId w:val="2"/>
  </w:num>
  <w:num w:numId="371">
    <w:abstractNumId w:val="2"/>
  </w:num>
  <w:num w:numId="372">
    <w:abstractNumId w:val="2"/>
  </w:num>
  <w:num w:numId="373">
    <w:abstractNumId w:val="2"/>
  </w:num>
  <w:num w:numId="374">
    <w:abstractNumId w:val="2"/>
  </w:num>
  <w:num w:numId="375">
    <w:abstractNumId w:val="2"/>
  </w:num>
  <w:num w:numId="376">
    <w:abstractNumId w:val="2"/>
  </w:num>
  <w:num w:numId="377">
    <w:abstractNumId w:val="2"/>
  </w:num>
  <w:num w:numId="378">
    <w:abstractNumId w:val="2"/>
  </w:num>
  <w:num w:numId="379">
    <w:abstractNumId w:val="2"/>
  </w:num>
  <w:num w:numId="380">
    <w:abstractNumId w:val="2"/>
  </w:num>
  <w:num w:numId="381">
    <w:abstractNumId w:val="2"/>
  </w:num>
  <w:num w:numId="382">
    <w:abstractNumId w:val="2"/>
  </w:num>
  <w:num w:numId="383">
    <w:abstractNumId w:val="2"/>
  </w:num>
  <w:num w:numId="384">
    <w:abstractNumId w:val="2"/>
  </w:num>
  <w:num w:numId="385">
    <w:abstractNumId w:val="2"/>
  </w:num>
  <w:num w:numId="386">
    <w:abstractNumId w:val="2"/>
  </w:num>
  <w:num w:numId="387">
    <w:abstractNumId w:val="2"/>
  </w:num>
  <w:num w:numId="388">
    <w:abstractNumId w:val="2"/>
  </w:num>
  <w:num w:numId="389">
    <w:abstractNumId w:val="2"/>
  </w:num>
  <w:num w:numId="390">
    <w:abstractNumId w:val="2"/>
  </w:num>
  <w:num w:numId="391">
    <w:abstractNumId w:val="2"/>
  </w:num>
  <w:num w:numId="392">
    <w:abstractNumId w:val="2"/>
  </w:num>
  <w:num w:numId="393">
    <w:abstractNumId w:val="2"/>
  </w:num>
  <w:num w:numId="394">
    <w:abstractNumId w:val="2"/>
  </w:num>
  <w:num w:numId="395">
    <w:abstractNumId w:val="2"/>
  </w:num>
  <w:num w:numId="396">
    <w:abstractNumId w:val="2"/>
  </w:num>
  <w:num w:numId="397">
    <w:abstractNumId w:val="2"/>
  </w:num>
  <w:num w:numId="398">
    <w:abstractNumId w:val="2"/>
  </w:num>
  <w:num w:numId="399">
    <w:abstractNumId w:val="2"/>
  </w:num>
  <w:num w:numId="400">
    <w:abstractNumId w:val="2"/>
  </w:num>
  <w:num w:numId="401">
    <w:abstractNumId w:val="3"/>
    <w:lvlOverride w:ilvl="0">
      <w:startOverride w:val="1"/>
    </w:lvlOverride>
  </w:num>
  <w:num w:numId="402">
    <w:abstractNumId w:val="3"/>
  </w:num>
  <w:num w:numId="403">
    <w:abstractNumId w:val="3"/>
  </w:num>
  <w:num w:numId="404">
    <w:abstractNumId w:val="3"/>
    <w:lvlOverride w:ilvl="0">
      <w:startOverride w:val="1"/>
    </w:lvlOverride>
  </w:num>
  <w:num w:numId="405">
    <w:abstractNumId w:val="3"/>
  </w:num>
  <w:num w:numId="406">
    <w:abstractNumId w:val="3"/>
  </w:num>
  <w:num w:numId="407">
    <w:abstractNumId w:val="3"/>
  </w:num>
  <w:num w:numId="408">
    <w:abstractNumId w:val="2"/>
  </w:num>
  <w:num w:numId="409">
    <w:abstractNumId w:val="2"/>
  </w:num>
  <w:num w:numId="410">
    <w:abstractNumId w:val="2"/>
  </w:num>
  <w:num w:numId="411">
    <w:abstractNumId w:val="2"/>
  </w:num>
  <w:num w:numId="412">
    <w:abstractNumId w:val="2"/>
  </w:num>
  <w:num w:numId="413">
    <w:abstractNumId w:val="2"/>
  </w:num>
  <w:num w:numId="414">
    <w:abstractNumId w:val="2"/>
  </w:num>
  <w:num w:numId="415">
    <w:abstractNumId w:val="2"/>
  </w:num>
  <w:num w:numId="416">
    <w:abstractNumId w:val="2"/>
  </w:num>
  <w:num w:numId="417">
    <w:abstractNumId w:val="2"/>
  </w:num>
  <w:num w:numId="418">
    <w:abstractNumId w:val="2"/>
  </w:num>
  <w:num w:numId="419">
    <w:abstractNumId w:val="2"/>
  </w:num>
  <w:num w:numId="420">
    <w:abstractNumId w:val="2"/>
  </w:num>
  <w:num w:numId="421">
    <w:abstractNumId w:val="2"/>
  </w:num>
  <w:num w:numId="422">
    <w:abstractNumId w:val="2"/>
  </w:num>
  <w:num w:numId="423">
    <w:abstractNumId w:val="2"/>
  </w:num>
  <w:num w:numId="424">
    <w:abstractNumId w:val="2"/>
  </w:num>
  <w:num w:numId="425">
    <w:abstractNumId w:val="2"/>
  </w:num>
  <w:num w:numId="426">
    <w:abstractNumId w:val="2"/>
  </w:num>
  <w:num w:numId="427">
    <w:abstractNumId w:val="2"/>
  </w:num>
  <w:num w:numId="428">
    <w:abstractNumId w:val="2"/>
  </w:num>
  <w:num w:numId="429">
    <w:abstractNumId w:val="2"/>
  </w:num>
  <w:num w:numId="430">
    <w:abstractNumId w:val="2"/>
  </w:num>
  <w:num w:numId="431">
    <w:abstractNumId w:val="2"/>
  </w:num>
  <w:num w:numId="432">
    <w:abstractNumId w:val="2"/>
  </w:num>
  <w:num w:numId="433">
    <w:abstractNumId w:val="2"/>
  </w:num>
  <w:num w:numId="434">
    <w:abstractNumId w:val="2"/>
  </w:num>
  <w:num w:numId="435">
    <w:abstractNumId w:val="2"/>
  </w:num>
  <w:num w:numId="436">
    <w:abstractNumId w:val="2"/>
  </w:num>
  <w:num w:numId="437">
    <w:abstractNumId w:val="2"/>
  </w:num>
  <w:num w:numId="438">
    <w:abstractNumId w:val="2"/>
  </w:num>
  <w:num w:numId="439">
    <w:abstractNumId w:val="2"/>
  </w:num>
  <w:num w:numId="440">
    <w:abstractNumId w:val="2"/>
  </w:num>
  <w:num w:numId="441">
    <w:abstractNumId w:val="2"/>
  </w:num>
  <w:num w:numId="442">
    <w:abstractNumId w:val="2"/>
  </w:num>
  <w:num w:numId="443">
    <w:abstractNumId w:val="2"/>
  </w:num>
  <w:num w:numId="444">
    <w:abstractNumId w:val="2"/>
  </w:num>
  <w:num w:numId="445">
    <w:abstractNumId w:val="2"/>
  </w:num>
  <w:num w:numId="446">
    <w:abstractNumId w:val="2"/>
  </w:num>
  <w:num w:numId="447">
    <w:abstractNumId w:val="2"/>
  </w:num>
  <w:num w:numId="448">
    <w:abstractNumId w:val="2"/>
  </w:num>
  <w:num w:numId="449">
    <w:abstractNumId w:val="2"/>
  </w:num>
  <w:num w:numId="450">
    <w:abstractNumId w:val="2"/>
  </w:num>
  <w:num w:numId="451">
    <w:abstractNumId w:val="2"/>
  </w:num>
  <w:num w:numId="452">
    <w:abstractNumId w:val="2"/>
  </w:num>
  <w:num w:numId="453">
    <w:abstractNumId w:val="2"/>
  </w:num>
  <w:num w:numId="454">
    <w:abstractNumId w:val="2"/>
  </w:num>
  <w:num w:numId="455">
    <w:abstractNumId w:val="2"/>
  </w:num>
  <w:num w:numId="456">
    <w:abstractNumId w:val="2"/>
  </w:num>
  <w:num w:numId="457">
    <w:abstractNumId w:val="2"/>
  </w:num>
  <w:num w:numId="458">
    <w:abstractNumId w:val="2"/>
  </w:num>
  <w:num w:numId="459">
    <w:abstractNumId w:val="2"/>
  </w:num>
  <w:num w:numId="460">
    <w:abstractNumId w:val="2"/>
  </w:num>
  <w:num w:numId="461">
    <w:abstractNumId w:val="2"/>
  </w:num>
  <w:num w:numId="462">
    <w:abstractNumId w:val="2"/>
  </w:num>
  <w:num w:numId="463">
    <w:abstractNumId w:val="2"/>
  </w:num>
  <w:num w:numId="464">
    <w:abstractNumId w:val="2"/>
  </w:num>
  <w:num w:numId="465">
    <w:abstractNumId w:val="2"/>
  </w:num>
  <w:num w:numId="466">
    <w:abstractNumId w:val="2"/>
  </w:num>
  <w:num w:numId="467">
    <w:abstractNumId w:val="3"/>
    <w:lvlOverride w:ilvl="0">
      <w:startOverride w:val="1"/>
    </w:lvlOverride>
  </w:num>
  <w:num w:numId="468">
    <w:abstractNumId w:val="108"/>
    <w:lvlOverride w:ilvl="0">
      <w:startOverride w:val="2"/>
    </w:lvlOverride>
  </w:num>
  <w:num w:numId="469">
    <w:abstractNumId w:val="109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rial" w:hAnsi="Arial" w:eastAsia="Arial" w:cs="Arial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Arial" w:hAnsi="Arial" w:eastAsia="Arial" w:cs="Arial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>
      <w:rFonts w:ascii="Arial" w:hAnsi="Arial" w:eastAsia="Arial" w:cs="Arial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Arial" w:hAnsi="Arial" w:eastAsia="Arial" w:cs="Arial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color w:val="auto"/>
      <w:kern w:val="0"/>
      <w:sz w:val="24"/>
      <w:szCs w:val="24"/>
      <w:lang w:val="pt-BR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color w:val="auto"/>
      <w:kern w:val="0"/>
      <w:sz w:val="24"/>
      <w:szCs w:val="24"/>
      <w:lang w:val="pt-BR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rFonts w:ascii="Arial" w:hAnsi="Arial" w:eastAsia="Arial" w:cs="Arial"/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rFonts w:ascii="Arial" w:hAnsi="Arial" w:eastAsia="Arial" w:cs="Arial"/>
      <w:sz w:val="20"/>
      <w:szCs w:val="20"/>
    </w:rPr>
  </w:style>
  <w:style w:type="paragraph" w:styleId="Bibliography">
    <w:name w:val="Bibliography"/>
    <w:basedOn w:val="Normal"/>
    <w:qFormat/>
    <w:pPr/>
    <w:rPr>
      <w:rFonts w:ascii="Arial" w:hAnsi="Arial" w:eastAsia="Arial" w:cs="Arial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</w:rPr>
  </w:style>
  <w:style w:type="paragraph" w:styleId="FootnoteText">
    <w:name w:val="Footnote Text"/>
    <w:basedOn w:val="Normal"/>
    <w:uiPriority w:val="9"/>
    <w:unhideWhenUsed/>
    <w:qFormat/>
    <w:pPr/>
    <w:rPr>
      <w:rFonts w:ascii="Arial" w:hAnsi="Arial" w:eastAsia="Arial" w:cs="Arial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rFonts w:ascii="Arial" w:hAnsi="Arial" w:eastAsia="Arial" w:cs="Arial"/>
      <w:b/>
    </w:rPr>
  </w:style>
  <w:style w:type="paragraph" w:styleId="Definition" w:customStyle="1">
    <w:name w:val="Definition"/>
    <w:basedOn w:val="Normal"/>
    <w:qFormat/>
    <w:pPr/>
    <w:rPr>
      <w:rFonts w:ascii="Arial" w:hAnsi="Arial" w:eastAsia="Arial" w:cs="Arial"/>
    </w:rPr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</w:rPr>
  </w:style>
  <w:style w:type="paragraph" w:styleId="Figure" w:customStyle="1">
    <w:name w:val="Figure"/>
    <w:basedOn w:val="Normal"/>
    <w:qFormat/>
    <w:pPr/>
    <w:rPr>
      <w:rFonts w:ascii="Arial" w:hAnsi="Arial" w:eastAsia="Arial" w:cs="Arial"/>
    </w:rPr>
  </w:style>
  <w:style w:type="paragraph" w:styleId="CaptionedFigure" w:customStyle="1">
    <w:name w:val="Captioned Figure"/>
    <w:basedOn w:val="Figure"/>
    <w:qFormat/>
    <w:pPr>
      <w:keepNext w:val="true"/>
    </w:pPr>
    <w:rPr>
      <w:rFonts w:ascii="Arial" w:hAnsi="Arial" w:eastAsia="Arial" w:cs="Arial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>
      <w:rFonts w:ascii="Arial" w:hAnsi="Arial" w:eastAsia="Arial" w:cs="Arial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97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689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i.cpfl.com.br/list.aspx?ano=2026&amp;idCanal=cq54IMbPPtNE4sURyBMZIQ%3D%3D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105</Pages>
  <Words>39665</Words>
  <Characters>226702</Characters>
  <CharactersWithSpaces>261052</CharactersWithSpaces>
  <Paragraphs>4954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2026-10-24T15:26:26Z</dcterms:created>
  <dc:creator>Cauã Victor Araújo Pimentel; Matrícula 231020069 · Universidade de Brasília · Auditoria 1 (CCA0024) · Turma 02 · 2026.2; Prof. Lucas Oliveira Gomes Ferreira</dc:creator>
  <dc:description/>
  <dc:language>pt-BR</dc:language>
  <cp:lastModifiedBy/>
  <dcterms:modified xsi:type="dcterms:W3CDTF">2026-10-24T12:26:31Z</dcterms:modified>
  <cp:revision>1</cp:revision>
  <dc:subject/>
  <dc:title>Dossiê de Auditoria — CPFL Energia S.A.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Versão 1.0 — 24/10/2026 (versão final)</vt:lpwstr>
  </property>
  <property fmtid="{D5CDD505-2E9C-101B-9397-08002B2CF9AE}" pid="3" name="subtitle">
    <vt:lpwstr>Demonstrações contábeis consolidadas de 2025 · Trabalho acadêmico</vt:lpwstr>
  </property>
  <property fmtid="{D5CDD505-2E9C-101B-9397-08002B2CF9AE}" pid="4" name="toc-title">
    <vt:lpwstr>Sumário</vt:lpwstr>
  </property>
</Properties>
</file>