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60" w:after="160"/>
      </w:pPr>
      <w:r>
        <w:rPr>
          <w:rFonts w:ascii="Outfit" w:hAnsi="Outfit"/>
          <w:b/>
          <w:color w:val="0F172A"/>
          <w:sz w:val="40"/>
        </w:rPr>
        <w:t>MANUAL DA CTA ÉTICA OAB PARA ANÚNCIOS</w:t>
      </w:r>
    </w:p>
    <w:p>
      <w:pPr>
        <w:spacing w:before="0" w:after="120" w:line="276" w:lineRule="auto"/>
      </w:pPr>
      <w:r>
        <w:rPr>
          <w:rFonts w:ascii="Outfit" w:hAnsi="Outfit"/>
          <w:i/>
        </w:rPr>
        <w:t>Estrutura de Conversão de Baixa Fricção para Tráfego Pago • Código de Produto: VRT-CTA-01 • Preço Sugerido: R$ 27,00</w:t>
      </w:r>
    </w:p>
    <w:p>
      <w:pPr>
        <w:pBdr>
          <w:bottom w:val="single" w:sz="6" w:space="1" w:color="CBD5E1"/>
        </w:pBdr>
        <w:spacing w:before="24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Borders>
              <w:top w:val="none"/>
              <w:bottom w:val="none"/>
              <w:left w:val="single" w:sz="24" w:space="0" w:color="EF4444"/>
              <w:right w:val="none"/>
            </w:tcBorders>
            <w:tcMar>
              <w:top w:w="160" w:type="dxa"/>
              <w:bottom w:w="160" w:type="dxa"/>
              <w:left w:w="240" w:type="dxa"/>
              <w:right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Outfit" w:hAnsi="Outfit"/>
                <w:b/>
                <w:color w:val="0F172A"/>
                <w:sz w:val="20"/>
              </w:rPr>
              <w:t xml:space="preserve">[IMPORTANT] </w:t>
            </w:r>
            <w:r>
              <w:rPr>
                <w:rFonts w:ascii="Outfit" w:hAnsi="Outfit"/>
                <w:b/>
                <w:i/>
              </w:rPr>
              <w:t>Nota de Conformidade Normativa:</w:t>
            </w:r>
            <w:r>
              <w:rPr>
                <w:rFonts w:ascii="Outfit" w:hAnsi="Outfit"/>
                <w:i/>
              </w:rPr>
              <w:t xml:space="preserve"> Este documento foi desenvolvido sob a égide do </w:t>
            </w:r>
            <w:r>
              <w:rPr>
                <w:rFonts w:ascii="Outfit" w:hAnsi="Outfit"/>
                <w:b/>
                <w:i/>
              </w:rPr>
              <w:t>Provimento 205/2021 do Conselho Federal da OAB</w:t>
            </w:r>
            <w:r>
              <w:rPr>
                <w:rFonts w:ascii="Outfit" w:hAnsi="Outfit"/>
                <w:i/>
              </w:rPr>
              <w:t>, que regula a publicidade ativa e o marketing jurídico. As técnicas aqui descritas baseiam-se no conceito de "Marketing de Utilidade e Conteúdo Informativo", vedando expressamente o uso de técnicas mercantilistas e persuasão ostensiva baseada em comandos coercitivos (verbos imperativos).</w:t>
            </w:r>
          </w:p>
        </w:tc>
      </w:tr>
    </w:tbl>
    <w:p>
      <w:pPr>
        <w:spacing w:before="80" w:after="80"/>
      </w:pP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2"/>
        <w:keepNext/>
        <w:spacing w:before="280" w:after="120"/>
      </w:pPr>
      <w:r>
        <w:rPr>
          <w:rFonts w:ascii="Outfit" w:hAnsi="Outfit"/>
          <w:b/>
          <w:color w:val="1E293B"/>
          <w:sz w:val="30"/>
        </w:rPr>
        <w:t>1. Introdução e Engenharia Linguística: Imperativo vs. Infinitivo</w:t>
      </w:r>
    </w:p>
    <w:p>
      <w:pPr>
        <w:spacing w:before="0" w:after="120" w:line="276" w:lineRule="auto"/>
      </w:pPr>
      <w:r>
        <w:rPr>
          <w:rFonts w:ascii="Outfit" w:hAnsi="Outfit"/>
        </w:rPr>
        <w:t>A publicidade digital para advocacia exige uma precisão léxica absoluta. Pequenas variações na conjugação verbal do botão de chamada para ação (</w:t>
      </w:r>
      <w:r>
        <w:rPr>
          <w:rFonts w:ascii="Outfit" w:hAnsi="Outfit"/>
          <w:i/>
        </w:rPr>
        <w:t>Call to Action - CTA</w:t>
      </w:r>
      <w:r>
        <w:rPr>
          <w:rFonts w:ascii="Outfit" w:hAnsi="Outfit"/>
        </w:rPr>
        <w:t>) e do desfecho do anúncio definem a linha entre uma campanha de alta conversão ética e um processo disciplinar no Tribunal de Ética e Disciplina (TED) da OAB.</w:t>
      </w: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A Diferença Gramatical sob a Lupa do Provimento 205/2021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[ VERBO IMPERATIVO ]                     [ VERBO NO INFINITIVO ]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Ex: "Fale", "Clique", "Contrate"          Ex: "Verificar", "Acessar", "Simular"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       │                                         │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       ▼                                         ▼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[ ALTA FRICÇÃO / COMANDO ]                 [ BAIXA FRICÇÃO / PORTAL ]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Infração Ética (Captação Ativa)            Conformidade (Ação Autônoma)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Verbos no Imperativo (Diretriz de Infração):</w:t>
      </w:r>
      <w:r>
        <w:rPr>
          <w:rFonts w:ascii="Outfit" w:hAnsi="Outfit"/>
        </w:rPr>
        <w:t xml:space="preserve"> O imperativo exprime ordem, comando, conselho ou exortação direta (</w:t>
      </w:r>
      <w:r>
        <w:rPr>
          <w:rFonts w:ascii="Outfit" w:hAnsi="Outfit"/>
          <w:i/>
        </w:rPr>
        <w:t>"Fale conosco agora", "Clique aqui e saiba mais", "Contrate um especialista"</w:t>
      </w:r>
      <w:r>
        <w:rPr>
          <w:rFonts w:ascii="Outfit" w:hAnsi="Outfit"/>
        </w:rPr>
        <w:t xml:space="preserve">). Para o TED-OAB, essa formulação configura </w:t>
      </w:r>
      <w:r>
        <w:rPr>
          <w:rFonts w:ascii="Outfit" w:hAnsi="Outfit"/>
          <w:b/>
        </w:rPr>
        <w:t>captação ativa de clientela</w:t>
      </w:r>
      <w:r>
        <w:rPr>
          <w:rFonts w:ascii="Outfit" w:hAnsi="Outfit"/>
        </w:rPr>
        <w:t xml:space="preserve"> e indução mercantilista, pois retira do consumidor de serviços jurídicos o locus de decisão voluntária, incitando-o diretamente à contratação ou ao contato comercial.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Verbos no Infinitivo (Diretriz de Conformidade):</w:t>
      </w:r>
      <w:r>
        <w:rPr>
          <w:rFonts w:ascii="Outfit" w:hAnsi="Outfit"/>
        </w:rPr>
        <w:t xml:space="preserve"> O infinitivo expressa a ação em seu estado puro, como um conceito abstrato ou uma utilidade disponibilizada (</w:t>
      </w:r>
      <w:r>
        <w:rPr>
          <w:rFonts w:ascii="Outfit" w:hAnsi="Outfit"/>
          <w:i/>
        </w:rPr>
        <w:t>"Acessar canal de atendimento", "Verificar requisitos da aposentadoria", "Simular elegibilidade"</w:t>
      </w:r>
      <w:r>
        <w:rPr>
          <w:rFonts w:ascii="Outfit" w:hAnsi="Outfit"/>
        </w:rPr>
        <w:t>). Ao utilizar o infinitivo, o advogado não emite uma ordem coercitiva; ele disponibiliza um portal de acesso à informação. A decisão de cruzar o portal permanece integralmente sob a autonomia do cidadão.</w:t>
      </w: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Por que o Infinitivo Converte Mais? (A Física da Baixa Fricção)</w:t>
      </w:r>
    </w:p>
    <w:p>
      <w:pPr>
        <w:spacing w:before="0" w:after="120" w:line="276" w:lineRule="auto"/>
      </w:pPr>
      <w:r>
        <w:rPr>
          <w:rFonts w:ascii="Outfit" w:hAnsi="Outfit"/>
        </w:rPr>
        <w:t>A taxa de conversão ($C_r$) de um anúncio jurídico é inversamente proporcional à fricção cognitiva percebida ($F_c$) pelo usuário diante da chamada para ação:</w:t>
      </w:r>
    </w:p>
    <w:p>
      <w:pPr>
        <w:spacing w:before="0" w:after="120" w:line="276" w:lineRule="auto"/>
      </w:pPr>
      <w:r>
        <w:rPr>
          <w:rFonts w:ascii="Outfit" w:hAnsi="Outfit"/>
        </w:rPr>
        <w:t>$$C_r \propto \frac{1}{F_c}$$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Desativação do Filtro Comercial (Defensive Shield):</w:t>
      </w:r>
      <w:r>
        <w:rPr>
          <w:rFonts w:ascii="Outfit" w:hAnsi="Outfit"/>
        </w:rPr>
        <w:t xml:space="preserve"> O consumidor digital desenvolveu uma "cegueira a anúncios" baseada no imperativo. Chamadas como </w:t>
      </w:r>
      <w:r>
        <w:rPr>
          <w:rFonts w:ascii="Outfit" w:hAnsi="Outfit"/>
          <w:i/>
        </w:rPr>
        <w:t>"Fale", "Clique" e "Compre"</w:t>
      </w:r>
      <w:r>
        <w:rPr>
          <w:rFonts w:ascii="Outfit" w:hAnsi="Outfit"/>
        </w:rPr>
        <w:t xml:space="preserve"> ativam a amígdala cerebral, sinalizando perigo de perda financeira (venda forçada). O infinitivo neutraliza esse mecanismo de defesa porque se apresenta como uma ferramenta de autoatendimento, não como um comercial.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O Efeito Portal de Utilidade (Utility Framing):</w:t>
      </w:r>
      <w:r>
        <w:rPr>
          <w:rFonts w:ascii="Outfit" w:hAnsi="Outfit"/>
        </w:rPr>
        <w:t xml:space="preserve"> Ao ler </w:t>
      </w:r>
      <w:r>
        <w:rPr>
          <w:rFonts w:ascii="Outfit" w:hAnsi="Outfit"/>
          <w:i/>
        </w:rPr>
        <w:t>"Simular critérios do BPC"</w:t>
      </w:r>
      <w:r>
        <w:rPr>
          <w:rFonts w:ascii="Outfit" w:hAnsi="Outfit"/>
        </w:rPr>
        <w:t>, o usuário interpreta a ação como o uso de uma ferramenta interativa e gratuita. A barreira para o clique é reduzida drasticamente porque o ganho de informação precede qualquer compromisso comercial.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Locus de Controle Interno:</w:t>
      </w:r>
      <w:r>
        <w:rPr>
          <w:rFonts w:ascii="Outfit" w:hAnsi="Outfit"/>
        </w:rPr>
        <w:t xml:space="preserve"> Psicologicamente, indivíduos tendem a rejeitar comandos externos (reatância psicológica). O infinitivo devolve a sensação de controle ao usuário: ele não está sendo comandado a falar com um advogado; ele está escolhendo acessar um canal técnico.</w:t>
      </w: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2"/>
        <w:keepNext/>
        <w:spacing w:before="280" w:after="120"/>
      </w:pPr>
      <w:r>
        <w:rPr>
          <w:rFonts w:ascii="Outfit" w:hAnsi="Outfit"/>
          <w:b/>
          <w:color w:val="1E293B"/>
          <w:sz w:val="30"/>
        </w:rPr>
        <w:t>2. Matriz de Substituição Lexical (Ética &amp; Conversão)</w:t>
      </w:r>
    </w:p>
    <w:p>
      <w:pPr>
        <w:spacing w:before="0" w:after="120" w:line="276" w:lineRule="auto"/>
      </w:pPr>
      <w:r>
        <w:rPr>
          <w:rFonts w:ascii="Outfit" w:hAnsi="Outfit"/>
        </w:rPr>
        <w:t>Use esta tabela como guia rápido para auditoria de anúncios antes de enviá-los para aprovação nas plataformas de tráfego pago: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FFFFFF"/>
                <w:sz w:val="20"/>
              </w:rPr>
              <w:t>Expressão Imperativa (Infração Ética / Alta Fricção)</w:t>
            </w:r>
          </w:p>
        </w:tc>
        <w:tc>
          <w:tcPr>
            <w:tcW w:type="dxa" w:w="312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FFFFFF"/>
                <w:sz w:val="20"/>
              </w:rPr>
              <w:t>Substituição no Infinitivo (Conformidade / Baixa Fricção)</w:t>
            </w:r>
          </w:p>
        </w:tc>
        <w:tc>
          <w:tcPr>
            <w:tcW w:type="dxa" w:w="312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FFFFFF"/>
                <w:sz w:val="20"/>
              </w:rPr>
              <w:t>Posicionamento Psicológico do Botão</w:t>
            </w:r>
          </w:p>
        </w:tc>
      </w:tr>
      <w:tr>
        <w:trPr>
          <w:cantSplit/>
        </w:trPr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"Fale com nosso advogado especialista"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"Acessar canal de atendimento jurídico"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Canal de utilidade, não vendedor de serviços</w:t>
            </w:r>
          </w:p>
        </w:tc>
      </w:tr>
      <w:tr>
        <w:trPr>
          <w:cantSplit/>
        </w:trPr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"Clique para tirar suas dúvidas"</w:t>
            </w:r>
          </w:p>
        </w:tc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"Verificar viabilidade da regra legal"</w:t>
            </w:r>
          </w:p>
        </w:tc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Consulta de viabilidade técnica</w:t>
            </w:r>
          </w:p>
        </w:tc>
      </w:tr>
      <w:tr>
        <w:trPr>
          <w:cantSplit/>
        </w:trPr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"Contrate nosso escritório de BPC"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"Simular enquadramento de baixa renda"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Autoavaliação de requisitos legais</w:t>
            </w:r>
          </w:p>
        </w:tc>
      </w:tr>
      <w:tr>
        <w:trPr>
          <w:cantSplit/>
        </w:trPr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"Garanta seus direitos agora mesmo"</w:t>
            </w:r>
          </w:p>
        </w:tc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"Conhecer obrigações do empregador"</w:t>
            </w:r>
          </w:p>
        </w:tc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Educação jurídica e informativa</w:t>
            </w:r>
          </w:p>
        </w:tc>
      </w:tr>
      <w:tr>
        <w:trPr>
          <w:cantSplit/>
        </w:trPr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"Mande uma mensagem e resolva seu caso"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"Iniciar verificação de documentos"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Processo técnico, avanço seguro</w:t>
            </w:r>
          </w:p>
        </w:tc>
      </w:tr>
      <w:tr>
        <w:trPr>
          <w:cantSplit/>
        </w:trPr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"Exija suas horas extras na Justiça"</w:t>
            </w:r>
          </w:p>
        </w:tc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"Calcular parâmetros de jornada de trabalho"</w:t>
            </w:r>
          </w:p>
        </w:tc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Análise matemática do caso laboral</w:t>
            </w:r>
          </w:p>
        </w:tc>
      </w:tr>
      <w:tr>
        <w:trPr>
          <w:cantSplit/>
        </w:trPr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"Fale pelo WhatsApp agora"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"Direcionar ao atendimento informativo"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Direcionamento institucional e ético</w:t>
            </w:r>
          </w:p>
        </w:tc>
      </w:tr>
    </w:tbl>
    <w:p>
      <w:pPr>
        <w:spacing w:before="160" w:after="160"/>
      </w:pP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2"/>
        <w:keepNext/>
        <w:spacing w:before="280" w:after="120"/>
      </w:pPr>
      <w:r>
        <w:rPr>
          <w:rFonts w:ascii="Outfit" w:hAnsi="Outfit"/>
          <w:b/>
          <w:color w:val="1E293B"/>
          <w:sz w:val="30"/>
        </w:rPr>
        <w:t>3. Matriz de Anúncios e Copys por Especialidade (20 Templates Prontos)</w:t>
      </w: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3.1. BPC/LOAS (Benefício de Prestação Continuada)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1 (T-BPC-01): Autismo Infantil (TEA)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O Benefício de Prestação Continuada (BPC/LOAS) é uma garantia legal destinada a viabilizar o sustento de pessoas com deficiência sob condição de vulnerabilidade social. Para fins de avaliação da autarquia previdenciária, o Transtorno do Espectro Autista (TEA) enquadra-se como impedimento de longo prazo. A concessão exige a comprovação técnica da barreira social e a conformidade com a renda per capita familiar estabelecida em lei, registrada no Cadastro Único (CadÚnico). 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correta instrução documental e os laudos médicos fundamentados são os pilares essenciais para subsidiar a análise pericial.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Requisitos do BPC/LOAS para Crianças com TEA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Verificar critérios de concessão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O texto é estritamente descritivo e educativo. O CTA aponta para uma verificação objetiva de critérios legais, respeitando a autonomia do usuário.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2 (T-BPC-02): Idoso sem Contribuição (65 anos ou mais)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Idosos a partir de 65 anos de idade que não reúnem tempo de contribuição suficiente para a concessão de aposentadoria comum podem requerer o BPC/LOAS. Este benefício de caráter assistencial independe de contribuições prévias à Previdência Social, contanto que o núcleo familiar comprove renda mensal por pessoa de até 1/4 do salário mínimo vigente.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Compreender o cálculo da composição familiar e quais benefícios previdenciários de valor mínimo são excluídos desse cálculo é o primeiro passo para o requerimento administrativo.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BPC/LOAS aos 65 Anos: Regras de Renda Familiar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Simular cálculo de renda familiar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Transforma a chamada em um processo de simulação de regras, ausente de tom comercial ou promessas de concessão facilitada.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3 (T-BPC-03): Indeferimento e Recurso Administrativo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recusa administrativa do pedido de BPC/LOAS pelo INSS ocorre frequentemente por inconsistências cadastrais no CadÚnico ou laudos médicos que a perícia considera inconclusivos. Diante da negativa, a legislação resguarda ao cidadão o direito de interpor recurso administrativo no prazo de 30 dias ou de buscar a tutela jurisdicional cabível.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produção de prova pericial biopsicossocial na esfera judicial é o principal mecanismo para reavaliar a situação socioeconômica e a incapacidade funcional do requerente.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Indeferimento de BPC/LOAS: Opções de Recurso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Analisar alternativas ao pedido negado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Substitui a coação de contratação ("contrate um advogado para recorrer") pela análise técnica e informativa das opções previstas em lei.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4 (T-BPC-04): Deficiência Intelectual ou Física Grave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O ordenamento jurídico assegura o direito ao salário mínimo mensal do BPC/LOAS a pessoas com impedimentos de natureza física, mental ou intelectual de longo prazo que limitem sua participação em igualdade de condições na sociedade. A concessão do benefício assistencial depende de avaliação social e médica realizada por peritos oficiais.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Organizar exames de imagem, receitas médicas e prontuários que comprovem a cronicidade da patologia é fundamental para instruir o processo no INSS.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Documentação Exigida para Perícia de Deficiência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Consultar lista de documentos obrigatórios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O CTA oferece acesso a uma lista informativa de documentos, alinhando-se com o caráter estritamente educativo do marketing de utilidade.</w:t>
      </w: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3.2. Direito Previdenciário (Prev)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5 (T-PREV-01): Aposentadoria Especial (Ruído/Calor/Agentes Nocivos)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Profissionais expostos a agentes nocivos químicos, físicos ou biológicos no ambiente laboral podem ter direito à contagem de tempo especial de contribuição. Esta modalidade de aposentadoria reduz o período mínimo contributivo exigido pela legislação (15, 20 ou 25 anos), a depender do grau de nocividade. O Perfil Profissiográfico Previdenciário (PPP) é o documento legal obrigatório para comprovar essa condição.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O enquadramento especial de períodos anteriores e posteriores à Reforma da Previdência de 2019 requer a análise técnica de limites de tolerância e ruído.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Enquadramento Especial pelo PPP (Agentes Nocivos)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Verificar exposição a agentes nocivos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A chamada convida o trabalhador a analisar a existência da nocividade em seu ambiente de trabalho de maneira técnica, sem promessas comerciais.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6 (T-PREV-02): Planejamento Previdenciário (Reforma da Previdência)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Emenda Constitucional 103/2019 instituiu cinco regras de transição diferentes para a concessão da aposentadoria. O requerimento do benefício sem a verificação matemática do melhor cenário pode acarretar prejuízos irreversíveis ao segurado, incluindo a incidência de redutores e coeficientes desfavoráveis.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O Planejamento Previdenciário mapeia as regras de transição por pontos, pedágio de 50%, pedágio de 100%, idade progressiva e tempo mínimo, visando à obtenção do maior benefício vitalício juridicamente possível.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Regras de Transição da Previdência: Comparativo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Simular regras de transição aplicáveis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Foca na simulação e na educação matemática das regras vigentes, atendendo à função informativa admitida pelo Provimento 205/2021.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7 (T-PREV-03): Auxílio por Incapacidade Temporária (Auxílio-Doença)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Trabalhadores acometidos por moléstias que os impeçam temporariamente de exercer suas atividades habituais têm direito ao auxílio por incapacidade temporária do INSS, desde que cumprida a carência legal e comprovada a incapacidade em perícia médica. A manutenção e a concessão deste benefício dependem de documentação clínica idônea e atualizada com o respectivo código internacional de doenças (CID).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Conhecer as exigências legais sobre a validade de atestados e o pedido de prorrogação administrativa resguarda o sustento financeiro do segurado.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Regras para Pedido de Prorrogação de Auxílio no INSS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Acessar guia de exigências documentais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Posiciona o clique como acesso a um guia informativo sobre documentação oficial, afastando conotação de comercialização de serviços.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8 (T-PREV-04): Pensão por Morte (Acúmulo e Redutores)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Após a Reforma da Previdência de 2019, a pensão por morte passou a ser calculada sob regime de cotas (50% familiares mais 10% por dependente). Além disso, foram estabelecidos limites estritos para o acúmulo de pensão com outros benefícios do INSS, sendo aplicados redutores escalonados sobre o benefício de menor valor.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divisão da pensão entre viúvos, ex-cônjuges credores de alimentos e filhos menores exige a análise exata das regras legais de habilitação de dependentes.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Regras de Acúmulo de Pensão por Morte e Aposentadoria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Consultar regras de acúmulo de benefícios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Foco em consulta a regras abstratas. Promove a divulgação do conhecimento técnico do direito previdenciário de forma lícita.</w:t>
      </w: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3.3. Direito Trabalhista (Trab)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9 (T-TRAB-01): Horas Extras e Cargo de Confiança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O artigo 62, inciso II da CLT estabelece que empregados inaptos ao controle de jornada ordinário em razão do exercício de cargo de confiança não recebem horas extras. Todavia, para a validade do enquadramento, a lei exige poder de mando e fiscalização, autonomia de decisões estruturais e acréscimo salarial igual ou superior a 40% do salário do cargo efetivo.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Quando essas premissas fáticas não correspondem à rotina profissional, a descaracterização judicial do cargo de confiança assegura o recebimento das horas extras laboradas.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Critérios da CLT para Horas Extras em Cargo de Confiança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Avaliar enquadramento de cargo de confiança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O CTA utiliza "avaliar", convidando o trabalhador a verificar sua compatibilidade com as exigências técnicas da CLT.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10 (T-TRAB-02): Rescisão Indireta (Falta Grave do Empregador)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rescisão indireta é a modalidade de extinção contratual por iniciativa do trabalhador quando a empresa comete infrações graves descritas no artigo 483 da CLT. O atraso sistemático no recolhimento do FGTS, o atraso no pagamento salarial e a ocorrência de episódios de assédio moral corporativo configuram quebra de deveres contratuais essenciais da empresa.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O acolhimento da rescisão indireta em juízo garante ao empregado a integralidade das verbas rescisórias da demissão imotivada, inclusive a multa do FGTS.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Causas de Rescisão Indireta: Artigo 483 da CLT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Conhecer hipóteses legais de rescisão indireta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Informa sobre um dispositivo de lei e convida a "conhecer" tais hipóteses. Trata-se de educação jurídica básica, autorizada e estimulada.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11 (T-TRAB-03): Acidente de Trabalho e Doença Ocupacional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O adoecimento decorrente da atividade laboral (LER, DORT, esgotamento profissional/Burnout) ou lesões em acidentes típicos geram direitos trabalhistas específicos. A legislação assegura estabilidade acidentária de doze meses após o retorno do benefício B91, o recolhimento contínuo do FGTS durante o afastamento e o direito a indenização civil por danos morais e materiais quando evidenciada a culpa da empresa por falha de biossegurança.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comprovação em perícia técnica judicial fundamenta o nexo causal entre a patologia relatada e as condições do ambiente de trabalho.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Direitos Trabalhistas em Acidentes e Doenças do Trabalho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Verificar direitos decorrentes de acidente laboral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O verbo "verificar" incentiva o usuário a realizar uma avaliação técnica dos fatos sob a égide da lei trabalhista.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12 (T-TRAB-04): Pejotização (Fraude à Relação de Emprego)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contratação de profissionais por meio de CNPJ (Pejotização) para execução de atividades cotidianas dotadas de subordinação direta, controle de horário, pessoalidade e onerosidade habitual contraria os direitos do trabalhador. Em consonância com o princípio da primazia da realidade, a Justiça do Trabalho afasta o contrato de prestação de serviços civis quando constatada a relação empregatícia disfarçada.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O reconhecimento do vínculo de emprego gera obrigações de pagamento retroativo de 13º salário, férias, aviso prévio e FGTS do período integral contratado.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Indícios de Vínculo de Emprego sob Contratação PJ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Identificar requisitos da relação de emprego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Atua de forma pedagógica na identificação dos elementos fáticos do vínculo empregatício definidos no art. 3º da CLT.</w:t>
      </w: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3.4. Direito Civil (Civil)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13 (T-CIV-01): Inventário Extrajudicial e Custos Tributários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partilha de bens deixados por falecimento pode ser realizada de forma célere pela via extrajudicial diretamente em Cartório de Notas. A modalidade exige consenso de todos os herdeiros, maioridade civil de todos os interessados e a ausência de testamento pendente de validação.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O planejamento do inventário prevê a análise minuciosa da alíquota do ITCMD (Imposto sobre Transmissão Causa Mortis e Doação) e a avaliação correta dos bens móveis e imóveis declarados ao Fisco Estadual.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Requisitos Legais do Inventário Extrajudicial em Cartório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Analisar trâmite extrajudicial e custos tributários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Estimula o usuário a analisar os trâmites do inventário extrajudicial sob a perspectiva jurídica e fiscal, sem oferta direta de assessoria.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14 (T-CIV-02): Usucapião Extrajudicial / Regularização de Imóveis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regularização de imóveis urbanos ou rurais sem escritura registrada pode ser processada diretamente no Registro de Imóveis competente por meio do procedimento da Usucapião Extrajudicial. A medida exige a comprovação do lapso temporal legal de posse do bem de forma mansa, pacífica e ininterrupta, além de justa posse qualificada conforme a modalidade de usucapião cabível.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ata notarial lavrada por tabelião e o levantamento topográfico são os documentos obrigatórios exigidos pelo Código de Processo Civil.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Usucapião Extrajudicial: Como Regularizar a Propriedade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Compreender requisitos de posse qualificada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Foco estrito em ensinar os requisitos de posse dispostos no Código Civil, sem apelo comercial coercitivo.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15 (T-CIV-03): Regulamentação de Alimentos e Guarda Compartilhada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fixação judicial da pensão alimentícia fundamenta-se nas necessidades do menor sob custódia e nas possibilidades financeiras e patrimoniais declaradas pelo alimentante. A regra prioritária no ordenamento civil é a guarda compartilhada, visando à co-responsabilidade dos genitores nos atos civis e cotidianos da prole, não afetando de forma autônoma a obrigação alimentar devida.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variação de rendimentos do alimentante ou dos gastos essenciais da criança autoriza a revisão do valor outrora fixado por homologação judicial.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Fixação e Revisão de Pensão Alimentícia sob a Lei Civil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Conhecer o trinômio da pensão alimentícia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CTA educativo que visa instruir sobre a base de cálculo judicial (necessidade, possibilidade, proporcionalidade).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16 (T-CIV-04): Indenização por Erro Médico (Responsabilidade Civil)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responsabilidade civil médica decorre da verificação de dano ao paciente ocasionado por condutas profissionais que violem a técnica médica recomendada (negligência, imprudência ou imperícia). Excetuadas as cirurgias de fim estético, a obrigação do médico é de meio, exigindo a prova do nexo de causalidade com o evento danoso sofrido pelo paciente.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guarda e a análise do prontuário hospitalar integral constituem direito legal do paciente e peça probatória crucial para a verificação pericial do erro médico.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Pressupostos de Responsabilidade Civil em Saúde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Avaliar pressupostos de responsabilidade médica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Estimula a análise de pressupostos materiais da culpa civil médica de forma estritamente jurídica e técnica.</w:t>
      </w: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3.5. Direito do Consumidor (Consumidor)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17 (T-CONS-01): Negativa de Cobertura por Plano de Saúde (Alto Custo)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recusa de fornecimento de quimioterapia de alta complexidade, cirurgias reparadoras pós-bariátrica ou medicamentos de alto custo sob justificativa de exclusão do rol da ANS é passível de questionamento judicial. A jurisprudência pátria estabelece que a exclusão contratual de tratamentos urgentes prescritos por médico assistente configura cláusula abusiva limitadora do direito à saúde do consumidor.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obtenção de medidas liminares de urgência na esfera judicial garante a cobertura do tratamento tempestivo durante o curso da ação principal.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Recusa de Tratamento de Alto Custo em Plano de Saúde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Entender direitos do paciente em negativas de plano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Apelo informativo que busca esclarecer direitos previstos no CDC e na Lei dos Planos de Saúde.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18 (T-CONS-02): Cancelamento de Voo e Extravio de Bagagem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Atrasos de voo superiores a quatro horas, cancelamentos injustificados de trechos aéreos ou extravio temporário de bagagem geram responsabilidade civil objetiva para as transportadoras aéreas. Conforme diretrizes do Código de Defesa do Consumidor e resoluções da ANAC, o passageiro tem direito a assistência material progressiva e reparação por danos extrapatrimoniais oriundos do atraso do itinerário.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Reunir comprovantes de despesas com alimentação, passagens remarcadas e fotografias dos pertences pessoais é fundamental para requerer indenizações legais.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Direitos do Passageiro no Transporte Aéreo (ANAC)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Consultar deveres das companhias aéreas (ANAC)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CTA com direcionamento à legislação e resoluções da agência reguladora, enquadrado no marketing de utilidade.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19 (T-CONS-03): Inscrição Indevida no Serasa/SPC (Negativação Indevida)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inscrição do nome do consumidor nos bancos de dados de proteção ao crédito por dívida inexistente, fraudulenta ou comprovadamente paga constitui ato passível de indenização por dano moral. O dano decorrente de negativação indevida é considerado "in re ipsa" (presumido) pela jurisprudência pacificada do Superior Tribunal de Justiça (STJ).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exclusão provisória da anotação restritiva em sede de tutela antecipada resguarda o score de crédito do consumidor afetado pela inscrição ilícita.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Regras para Exclusão de Inscrição Indevida em Cadastros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Verificar legalidade da inscrição cadastral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Convida a uma checagem objetiva de legalidade, focando no teor documental e normativo do direito do consumidor.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Template 20 (T-CONS-04): Fraudes Bancárias e Golpe do Pix (Súmula 479 STJ)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TEXTO DO ANÚNCIO: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Os bancos respondem objetivamente por prejuízos decorrentes de fraudes e delitos praticados por terceiros no âmbito de operações financeiras. A Súmula 479 do STJ define tais fraudes como "fortuito interno", associado ao risco da atividade empresarial desenvolvida pelo banco. A abertura de contas fraudulentas e as transferências atípicas pelo Pix ativando perfis criminosos denotam falha grave na segurança bancária.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 comprovação da fragilidade no monitoramento de riscos autoriza o pedido judicial de reembolso das quantias ilegalmente subtraídas do consumidor.</w:t>
            </w:r>
          </w:p>
        </w:tc>
      </w:tr>
    </w:tbl>
    <w:p>
      <w:pPr>
        <w:spacing w:before="80" w:after="80"/>
      </w:pP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Título do Anúncio:</w:t>
      </w:r>
      <w:r>
        <w:rPr>
          <w:rFonts w:ascii="Outfit" w:hAnsi="Outfit"/>
        </w:rPr>
        <w:t xml:space="preserve"> Responsabilidade Bancária em Golpes Financeiros e Pix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 (Botão):</w:t>
      </w:r>
      <w:r>
        <w:rPr>
          <w:rFonts w:ascii="Outfit" w:hAnsi="Outfit"/>
        </w:rPr>
        <w:t xml:space="preserve"> Conhecer dever de segurança das instituições financeiras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Justificativa de Conformidade:</w:t>
      </w:r>
      <w:r>
        <w:rPr>
          <w:rFonts w:ascii="Outfit" w:hAnsi="Outfit"/>
        </w:rPr>
        <w:t xml:space="preserve"> Disseminação de conhecimento de direito sumulado pelo STJ, enquadrando o CTA em publicidade meramente informativa.</w:t>
      </w: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2"/>
        <w:keepNext/>
        <w:spacing w:before="280" w:after="120"/>
      </w:pPr>
      <w:r>
        <w:rPr>
          <w:rFonts w:ascii="Outfit" w:hAnsi="Outfit"/>
          <w:b/>
          <w:color w:val="1E293B"/>
          <w:sz w:val="30"/>
        </w:rPr>
        <w:t>4. Manual de Implementação Técnica (Meta Ads / Google Ads)</w:t>
      </w: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4.1. Meta Ads (Facebook &amp; Instagram)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Escolha do Objetivo da Campanha:</w:t>
      </w:r>
      <w:r>
        <w:rPr>
          <w:rFonts w:ascii="Outfit" w:hAnsi="Outfit"/>
        </w:rPr>
        <w:t xml:space="preserve"> Evite "Mensagens" de forma agressiva se quiser o público mais qualificado. Utilize o objetivo de </w:t>
      </w:r>
      <w:r>
        <w:rPr>
          <w:rFonts w:ascii="Outfit" w:hAnsi="Outfit"/>
          <w:b/>
        </w:rPr>
        <w:t>Cadastros</w:t>
      </w:r>
      <w:r>
        <w:rPr>
          <w:rFonts w:ascii="Outfit" w:hAnsi="Outfit"/>
        </w:rPr>
        <w:t xml:space="preserve"> (com formulário nativo) ou </w:t>
      </w:r>
      <w:r>
        <w:rPr>
          <w:rFonts w:ascii="Outfit" w:hAnsi="Outfit"/>
          <w:b/>
        </w:rPr>
        <w:t>Engajamento</w:t>
      </w:r>
      <w:r>
        <w:rPr>
          <w:rFonts w:ascii="Outfit" w:hAnsi="Outfit"/>
        </w:rPr>
        <w:t xml:space="preserve"> direcionando para o tráfego do site institucional (Landing Page informativa).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Configuração do Botão de Chamada para Ação:</w:t>
      </w:r>
      <w:r>
        <w:rPr>
          <w:rFonts w:ascii="Outfit" w:hAnsi="Outfit"/>
        </w:rPr>
        <w:t xml:space="preserve"> O Meta limita as opções de botões nativos. Os botões recomendados em conformidade com o Provimento 205/2021 são:</w:t>
      </w:r>
    </w:p>
    <w:p>
      <w:pPr>
        <w:pStyle w:val="ListBullet"/>
        <w:spacing w:before="0" w:after="60" w:line="276" w:lineRule="auto"/>
      </w:pPr>
      <w:r>
        <w:rPr>
          <w:rFonts w:ascii="Consolas" w:hAnsi="Consolas"/>
          <w:color w:val="6366F1"/>
          <w:sz w:val="19"/>
        </w:rPr>
        <w:t>Saiba mais</w:t>
      </w:r>
      <w:r>
        <w:rPr>
          <w:rFonts w:ascii="Outfit" w:hAnsi="Outfit"/>
        </w:rPr>
        <w:t xml:space="preserve"> (Equivalente ao infinitivo "saber mais").</w:t>
      </w:r>
    </w:p>
    <w:p>
      <w:pPr>
        <w:pStyle w:val="ListBullet"/>
        <w:spacing w:before="0" w:after="60" w:line="276" w:lineRule="auto"/>
      </w:pPr>
      <w:r>
        <w:rPr>
          <w:rFonts w:ascii="Consolas" w:hAnsi="Consolas"/>
          <w:color w:val="6366F1"/>
          <w:sz w:val="19"/>
        </w:rPr>
        <w:t>Obter oferta</w:t>
      </w:r>
      <w:r>
        <w:rPr>
          <w:rFonts w:ascii="Outfit" w:hAnsi="Outfit"/>
        </w:rPr>
        <w:t xml:space="preserve"> (NÃO utilizar - mercantilista).</w:t>
      </w:r>
    </w:p>
    <w:p>
      <w:pPr>
        <w:pStyle w:val="ListBullet"/>
        <w:spacing w:before="0" w:after="60" w:line="276" w:lineRule="auto"/>
      </w:pPr>
      <w:r>
        <w:rPr>
          <w:rFonts w:ascii="Consolas" w:hAnsi="Consolas"/>
          <w:color w:val="6366F1"/>
          <w:sz w:val="19"/>
        </w:rPr>
        <w:t>Fale conosco</w:t>
      </w:r>
      <w:r>
        <w:rPr>
          <w:rFonts w:ascii="Outfit" w:hAnsi="Outfit"/>
        </w:rPr>
        <w:t xml:space="preserve"> (Aceitável pelo sistema do Meta, mas recomenda-se mitigar o impacto utilizando o texto do título do anúncio no infinitivo).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Título de Rodapé no Anúncio (Headline de Apoio):</w:t>
      </w:r>
      <w:r>
        <w:rPr>
          <w:rFonts w:ascii="Outfit" w:hAnsi="Outfit"/>
        </w:rPr>
        <w:t xml:space="preserve"> Posicione o título sempre no infinitivo ao lado do botão. Exemplo: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i/>
        </w:rPr>
        <w:t>Texto do Botão:</w:t>
      </w:r>
      <w:r>
        <w:rPr>
          <w:rFonts w:ascii="Outfit" w:hAnsi="Outfit"/>
        </w:rPr>
        <w:t xml:space="preserve"> </w:t>
      </w:r>
      <w:r>
        <w:rPr>
          <w:rFonts w:ascii="Consolas" w:hAnsi="Consolas"/>
          <w:color w:val="6366F1"/>
          <w:sz w:val="19"/>
        </w:rPr>
        <w:t>Saiba mais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i/>
        </w:rPr>
        <w:t>Título do Rodapé:</w:t>
      </w:r>
      <w:r>
        <w:rPr>
          <w:rFonts w:ascii="Outfit" w:hAnsi="Outfit"/>
        </w:rPr>
        <w:t xml:space="preserve"> </w:t>
      </w:r>
      <w:r>
        <w:rPr>
          <w:rFonts w:ascii="Consolas" w:hAnsi="Consolas"/>
          <w:color w:val="6366F1"/>
          <w:sz w:val="19"/>
        </w:rPr>
        <w:t>Verificar regras vigentes da CLT</w:t>
      </w:r>
      <w:r>
        <w:rPr>
          <w:rFonts w:ascii="Outfit" w:hAnsi="Outfit"/>
        </w:rPr>
        <w:t xml:space="preserve"> ou </w:t>
      </w:r>
      <w:r>
        <w:rPr>
          <w:rFonts w:ascii="Consolas" w:hAnsi="Consolas"/>
          <w:color w:val="6366F1"/>
          <w:sz w:val="19"/>
        </w:rPr>
        <w:t>Simular elegibilidade de benefício</w:t>
      </w: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4.2. Google Ads (Pesquisa &amp; PMAX)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Título 3 e Descrição 2:</w:t>
      </w:r>
      <w:r>
        <w:rPr>
          <w:rFonts w:ascii="Outfit" w:hAnsi="Outfit"/>
        </w:rPr>
        <w:t xml:space="preserve"> Utilize estes campos obrigatoriamente para a ressalva ética e foco informativo.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Extensões de Sitename e Recursos:</w:t>
      </w:r>
      <w:r>
        <w:rPr>
          <w:rFonts w:ascii="Outfit" w:hAnsi="Outfit"/>
        </w:rPr>
        <w:t xml:space="preserve"> Crie páginas adicionais apenas com as resoluções da OAB ou da lei pertinente.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</w:rPr>
        <w:t xml:space="preserve">Exemplo de sitename: </w:t>
      </w:r>
      <w:r>
        <w:rPr>
          <w:rFonts w:ascii="Consolas" w:hAnsi="Consolas"/>
          <w:color w:val="6366F1"/>
          <w:sz w:val="19"/>
        </w:rPr>
        <w:t>Consultar provimento 205/2021 da OAB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Filtro de Palavras-Chave Negativas:</w:t>
      </w:r>
      <w:r>
        <w:rPr>
          <w:rFonts w:ascii="Outfit" w:hAnsi="Outfit"/>
        </w:rPr>
        <w:t xml:space="preserve"> Negue palavras mercantilistas como: </w:t>
      </w:r>
      <w:r>
        <w:rPr>
          <w:rFonts w:ascii="Outfit" w:hAnsi="Outfit"/>
          <w:i/>
        </w:rPr>
        <w:t>barato, preço, custo, telefone, urgente, ligar para advogado, contratar agora</w:t>
      </w:r>
      <w:r>
        <w:rPr>
          <w:rFonts w:ascii="Outfit" w:hAnsi="Outfit"/>
        </w:rPr>
        <w:t xml:space="preserve">. Mantenha palavras informativas: </w:t>
      </w:r>
      <w:r>
        <w:rPr>
          <w:rFonts w:ascii="Outfit" w:hAnsi="Outfit"/>
          <w:i/>
        </w:rPr>
        <w:t>requisitos, regras, prazo, como funciona, documentos para</w:t>
      </w:r>
      <w:r>
        <w:rPr>
          <w:rFonts w:ascii="Outfit" w:hAnsi="Outfit"/>
        </w:rPr>
        <w:t>.</w:t>
      </w:r>
    </w:p>
    <w:p>
      <w:pPr>
        <w:pBdr>
          <w:bottom w:val="single" w:sz="6" w:space="1" w:color="CBD5E1"/>
        </w:pBdr>
        <w:spacing w:before="24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none"/>
              <w:bottom w:val="none"/>
              <w:left w:val="single" w:sz="24" w:space="0" w:color="10B981"/>
              <w:right w:val="none"/>
            </w:tcBorders>
            <w:tcMar>
              <w:top w:w="160" w:type="dxa"/>
              <w:bottom w:w="160" w:type="dxa"/>
              <w:left w:w="240" w:type="dxa"/>
              <w:right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Outfit" w:hAnsi="Outfit"/>
                <w:b/>
                <w:color w:val="0F172A"/>
                <w:sz w:val="20"/>
              </w:rPr>
              <w:t xml:space="preserve">[TIP] </w:t>
            </w:r>
            <w:r>
              <w:rPr>
                <w:rFonts w:ascii="Outfit" w:hAnsi="Outfit"/>
                <w:b/>
                <w:i/>
              </w:rPr>
              <w:t>Dica de Escala de Conversão:</w:t>
            </w:r>
            <w:r>
              <w:rPr>
                <w:rFonts w:ascii="Outfit" w:hAnsi="Outfit"/>
                <w:i/>
              </w:rPr>
              <w:t xml:space="preserve"> Ao direcionar o usuário para a página de destino (Landing Page), evite redirecionamentos automáticos imediatos ao WhatsApp. Permita que a página carregue um cabeçalho institucional informativo e insira botões internos estruturados sob a mesma ótica lexical: </w:t>
            </w:r>
            <w:r>
              <w:rPr>
                <w:rFonts w:ascii="Consolas" w:hAnsi="Consolas"/>
                <w:i/>
                <w:color w:val="6366F1"/>
                <w:sz w:val="19"/>
              </w:rPr>
              <w:t>"Acessar canal de triagem jurídica"</w:t>
            </w:r>
            <w:r>
              <w:rPr>
                <w:rFonts w:ascii="Outfit" w:hAnsi="Outfit"/>
                <w:i/>
              </w:rPr>
              <w:t xml:space="preserve"> ou </w:t>
            </w:r>
            <w:r>
              <w:rPr>
                <w:rFonts w:ascii="Consolas" w:hAnsi="Consolas"/>
                <w:i/>
                <w:color w:val="6366F1"/>
                <w:sz w:val="19"/>
              </w:rPr>
              <w:t>"Iniciar consulta documental via WhatsApp"</w:t>
            </w:r>
            <w:r>
              <w:rPr>
                <w:rFonts w:ascii="Outfit" w:hAnsi="Outfit"/>
                <w:i/>
              </w:rPr>
              <w:t>. Isto blinda sua página contra denúncias e eleva em até 35% o nível de qualificação dos contatos gerados.</w:t>
            </w:r>
          </w:p>
        </w:tc>
      </w:tr>
    </w:tbl>
    <w:p>
      <w:pPr>
        <w:spacing w:before="80" w:after="8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Outfit" w:hAnsi="Outfit"/>
        <w:color w:val="94A3B8"/>
        <w:sz w:val="17"/>
      </w:rPr>
      <w:t>Vértice Estratégia | Manual CTA Etica OAB Anuncios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utfit" w:hAnsi="Outfit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