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CBD5E1"/>
        </w:pBdr>
        <w:spacing w:before="240" w:after="240"/>
      </w:pPr>
    </w:p>
    <w:p>
      <w:pPr>
        <w:spacing w:before="0" w:after="120" w:line="276" w:lineRule="auto"/>
      </w:pPr>
      <w:r>
        <w:rPr>
          <w:rFonts w:ascii="Outfit" w:hAnsi="Outfit"/>
        </w:rPr>
        <w:t>tipo: tipo/procedimento</w:t>
      </w:r>
    </w:p>
    <w:p>
      <w:pPr>
        <w:spacing w:before="0" w:after="120" w:line="276" w:lineRule="auto"/>
      </w:pPr>
      <w:r>
        <w:rPr>
          <w:rFonts w:ascii="Outfit" w:hAnsi="Outfit"/>
        </w:rPr>
        <w:t>status: status/ativo</w:t>
      </w:r>
    </w:p>
    <w:p>
      <w:pPr>
        <w:spacing w:before="0" w:after="120" w:line="276" w:lineRule="auto"/>
      </w:pPr>
      <w:r>
        <w:rPr>
          <w:rFonts w:ascii="Outfit" w:hAnsi="Outfit"/>
        </w:rPr>
        <w:t>criada: 2026-06-17</w:t>
      </w:r>
    </w:p>
    <w:p>
      <w:pPr>
        <w:spacing w:before="0" w:after="120" w:line="276" w:lineRule="auto"/>
      </w:pPr>
      <w:r>
        <w:rPr>
          <w:rFonts w:ascii="Outfit" w:hAnsi="Outfit"/>
        </w:rPr>
        <w:t>tags: [tipo/procedimento, vertice, playbook, vendas, oab, inteligencia-artificial]</w:t>
      </w:r>
    </w:p>
    <w:p>
      <w:pPr>
        <w:pBdr>
          <w:bottom w:val="single" w:sz="6" w:space="1" w:color="CBD5E1"/>
        </w:pBdr>
        <w:spacing w:before="240" w:after="240"/>
      </w:pPr>
    </w:p>
    <w:p>
      <w:pPr>
        <w:pStyle w:val="Heading1"/>
        <w:keepNext/>
        <w:spacing w:before="360" w:after="160"/>
      </w:pPr>
      <w:r>
        <w:rPr>
          <w:rFonts w:ascii="Outfit" w:hAnsi="Outfit"/>
          <w:b/>
          <w:color w:val="0F172A"/>
          <w:sz w:val="40"/>
        </w:rPr>
        <w:t>Playbook — Método Método Vértice de Escala Comercial</w:t>
      </w:r>
    </w:p>
    <w:p>
      <w:pPr>
        <w:spacing w:before="0" w:after="120" w:line="276" w:lineRule="auto"/>
      </w:pPr>
      <w:r>
        <w:rPr>
          <w:rFonts w:ascii="Outfit" w:hAnsi="Outfit"/>
        </w:rPr>
        <w:t xml:space="preserve">Este playbook destila a metodologia de escala operacional do </w:t>
      </w:r>
      <w:r>
        <w:rPr>
          <w:rFonts w:ascii="Outfit" w:hAnsi="Outfit"/>
          <w:b/>
        </w:rPr>
        <w:t>Método Vértice de Escala Comercial</w:t>
      </w:r>
      <w:r>
        <w:rPr>
          <w:rFonts w:ascii="Outfit" w:hAnsi="Outfit"/>
        </w:rPr>
        <w:t xml:space="preserve"> para escritórios de advocacia, adaptada para o contexto estratégico da Vértice. O método trata a advocacia como uma </w:t>
      </w:r>
      <w:r>
        <w:rPr>
          <w:rFonts w:ascii="Outfit" w:hAnsi="Outfit"/>
          <w:b/>
        </w:rPr>
        <w:t>operação financeira baseada em tráfego de volume e qualificação automática por IA</w:t>
      </w:r>
      <w:r>
        <w:rPr>
          <w:rFonts w:ascii="Outfit" w:hAnsi="Outfit"/>
        </w:rPr>
        <w:t>.</w:t>
      </w:r>
    </w:p>
    <w:p>
      <w:pPr>
        <w:pBdr>
          <w:bottom w:val="single" w:sz="6" w:space="1" w:color="CBD5E1"/>
        </w:pBdr>
        <w:spacing w:before="240" w:after="240"/>
      </w:pPr>
    </w:p>
    <w:p>
      <w:pPr>
        <w:pStyle w:val="Heading2"/>
        <w:keepNext/>
        <w:spacing w:before="280" w:after="120"/>
      </w:pPr>
      <w:r>
        <w:rPr>
          <w:rFonts w:ascii="Outfit" w:hAnsi="Outfit"/>
          <w:b/>
          <w:color w:val="1E293B"/>
          <w:sz w:val="30"/>
        </w:rPr>
        <w:t>1. A Tese Central: Advocacia como Operação Financeira</w:t>
      </w:r>
    </w:p>
    <w:p>
      <w:pPr>
        <w:spacing w:before="0" w:after="120" w:line="276" w:lineRule="auto"/>
      </w:pPr>
      <w:r>
        <w:rPr>
          <w:rFonts w:ascii="Outfit" w:hAnsi="Outfit"/>
        </w:rPr>
        <w:t>A advocacia tradicional erra ao focar apenas no aperfeiçoamento técnico jurídico (a "prova da OAB") enquanto negligencia a captação e o processo comercial. A metodologia Vértice Scale divide a advocacia em dois caminhos: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Caminho A — Referência de Nicho (Boutique):</w:t>
      </w:r>
      <w:r>
        <w:rPr>
          <w:rFonts w:ascii="Outfit" w:hAnsi="Outfit"/>
        </w:rPr>
        <w:t xml:space="preserve"> Focado em marca pessoal, ticket alto, honorários iniciais expressivos e posicionamento sofisticado.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Caminho B — Operação Financeira de Massa (Volume):</w:t>
      </w:r>
      <w:r>
        <w:rPr>
          <w:rFonts w:ascii="Outfit" w:hAnsi="Outfit"/>
        </w:rPr>
        <w:t xml:space="preserve"> Focado em produtos jurídicos primários.</w:t>
      </w:r>
    </w:p>
    <w:p>
      <w:pPr>
        <w:pStyle w:val="Heading3"/>
        <w:keepNext/>
        <w:spacing w:before="240" w:after="80"/>
      </w:pPr>
      <w:r>
        <w:rPr>
          <w:rFonts w:ascii="Outfit" w:hAnsi="Outfit"/>
          <w:b/>
          <w:color w:val="475569"/>
          <w:sz w:val="24"/>
        </w:rPr>
        <w:t>Características dos Produtos Primários (Volume):</w:t>
      </w:r>
    </w:p>
    <w:p>
      <w:pPr>
        <w:pStyle w:val="ListNumber"/>
        <w:spacing w:before="0" w:after="60" w:line="276" w:lineRule="auto"/>
      </w:pPr>
      <w:r>
        <w:rPr>
          <w:rFonts w:ascii="Outfit" w:hAnsi="Outfit"/>
          <w:b/>
        </w:rPr>
        <w:t>Resultado com tráfego frio:</w:t>
      </w:r>
      <w:r>
        <w:rPr>
          <w:rFonts w:ascii="Outfit" w:hAnsi="Outfit"/>
        </w:rPr>
        <w:t xml:space="preserve"> Podem ser vendidos diretamente para quem nunca viu o advogado na internet.</w:t>
      </w:r>
    </w:p>
    <w:p>
      <w:pPr>
        <w:pStyle w:val="ListNumber"/>
        <w:spacing w:before="0" w:after="60" w:line="276" w:lineRule="auto"/>
      </w:pPr>
      <w:r>
        <w:rPr>
          <w:rFonts w:ascii="Outfit" w:hAnsi="Outfit"/>
          <w:b/>
        </w:rPr>
        <w:t>Sem honorários iniciais (Êxito total ou quase total):</w:t>
      </w:r>
      <w:r>
        <w:rPr>
          <w:rFonts w:ascii="Outfit" w:hAnsi="Outfit"/>
        </w:rPr>
        <w:t xml:space="preserve"> O cliente só paga ao final ou na vitória da causa.</w:t>
      </w:r>
    </w:p>
    <w:p>
      <w:pPr>
        <w:pStyle w:val="ListNumber"/>
        <w:spacing w:before="0" w:after="60" w:line="276" w:lineRule="auto"/>
      </w:pPr>
      <w:r>
        <w:rPr>
          <w:rFonts w:ascii="Outfit" w:hAnsi="Outfit"/>
          <w:b/>
        </w:rPr>
        <w:t>Estabilização rápida de campanha:</w:t>
      </w:r>
      <w:r>
        <w:rPr>
          <w:rFonts w:ascii="Outfit" w:hAnsi="Outfit"/>
        </w:rPr>
        <w:t xml:space="preserve"> Baixo investimento inicial necessário para testar e validar o Custo por Contrato Fechado.</w:t>
      </w:r>
    </w:p>
    <w:p>
      <w:pPr>
        <w:pStyle w:val="ListNumber"/>
        <w:spacing w:before="0" w:after="60" w:line="276" w:lineRule="auto"/>
      </w:pPr>
      <w:r>
        <w:rPr>
          <w:rFonts w:ascii="Outfit" w:hAnsi="Outfit"/>
          <w:b/>
        </w:rPr>
        <w:t>Demanda abundante e perene:</w:t>
      </w:r>
      <w:r>
        <w:rPr>
          <w:rFonts w:ascii="Outfit" w:hAnsi="Outfit"/>
        </w:rPr>
        <w:t xml:space="preserve"> Dores constantes (ex: BPC/LOAS por idade ou deficiência, atraso de voos, ações trabalhistas por doença ocupacional, revisões contratuais de juros abusivos).</w:t>
      </w:r>
    </w:p>
    <w:p>
      <w:pPr>
        <w:pBdr>
          <w:bottom w:val="single" w:sz="6" w:space="1" w:color="CBD5E1"/>
        </w:pBdr>
        <w:spacing w:before="240" w:after="240"/>
      </w:pPr>
    </w:p>
    <w:p>
      <w:pPr>
        <w:pStyle w:val="Heading2"/>
        <w:keepNext/>
        <w:spacing w:before="280" w:after="120"/>
      </w:pPr>
      <w:r>
        <w:rPr>
          <w:rFonts w:ascii="Outfit" w:hAnsi="Outfit"/>
          <w:b/>
          <w:color w:val="1E293B"/>
          <w:sz w:val="30"/>
        </w:rPr>
        <w:t>2. Funil Comercial Automatizado &amp; SDR de IA</w:t>
      </w:r>
    </w:p>
    <w:p>
      <w:pPr>
        <w:spacing w:before="0" w:after="120" w:line="276" w:lineRule="auto"/>
      </w:pPr>
      <w:r>
        <w:rPr>
          <w:rFonts w:ascii="Outfit" w:hAnsi="Outfit"/>
        </w:rPr>
        <w:t xml:space="preserve">O maior gargalo de um escritório de advocacia que roda tráfego de volume é a triagem de leads desqualificados. O método resolve isso substituindo o SDR humano (pré-vendedor) por um </w:t>
      </w:r>
      <w:r>
        <w:rPr>
          <w:rFonts w:ascii="Outfit" w:hAnsi="Outfit"/>
          <w:b/>
        </w:rPr>
        <w:t>fluxo comercial híbrido guiado por IA</w:t>
      </w:r>
      <w:r>
        <w:rPr>
          <w:rFonts w:ascii="Outfit" w:hAnsi="Outfit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graph TD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A[Tráfego Pago / Orgânico] --&gt; B[WhatsApp da IA Qualificadora]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B --&gt; C{Lead Qualificado?}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C --&gt;|Sim| D[Envio de Proposta Híbrida / Agendamento com Closer]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C --&gt;|Não| E[Mensagem de Filtro e Arquivamento]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D --&gt; F[Fechamento com Closer Humano]</w:t>
            </w:r>
          </w:p>
        </w:tc>
      </w:tr>
    </w:tbl>
    <w:p>
      <w:pPr>
        <w:spacing w:before="80" w:after="80"/>
      </w:pPr>
    </w:p>
    <w:p>
      <w:pPr>
        <w:pStyle w:val="Heading3"/>
        <w:keepNext/>
        <w:spacing w:before="240" w:after="80"/>
      </w:pPr>
      <w:r>
        <w:rPr>
          <w:rFonts w:ascii="Outfit" w:hAnsi="Outfit"/>
          <w:b/>
          <w:color w:val="475569"/>
          <w:sz w:val="24"/>
        </w:rPr>
        <w:t>O Fluxo em Detalhes:</w:t>
      </w:r>
    </w:p>
    <w:p>
      <w:pPr>
        <w:pStyle w:val="ListNumber"/>
        <w:spacing w:before="0" w:after="60" w:line="276" w:lineRule="auto"/>
      </w:pPr>
      <w:r>
        <w:rPr>
          <w:rFonts w:ascii="Outfit" w:hAnsi="Outfit"/>
          <w:b/>
        </w:rPr>
        <w:t>Triagem por IA (SDR de IA):</w:t>
      </w:r>
      <w:r>
        <w:rPr>
          <w:rFonts w:ascii="Outfit" w:hAnsi="Outfit"/>
        </w:rPr>
        <w:t xml:space="preserve"> Integrada ao WhatsApp através de APIs oficiais e ligada ao CRM (Leader Hub/Chat Guru/etc.). A IA recebe o lead, valida se ele cumpre os requisitos jurídicos mínimos da área (ex: tempo de contribuição, laudos médicos, tempo de atraso de voo) e calcula a viabilidade da causa.</w:t>
      </w:r>
    </w:p>
    <w:p>
      <w:pPr>
        <w:pStyle w:val="ListNumber"/>
        <w:spacing w:before="0" w:after="60" w:line="276" w:lineRule="auto"/>
      </w:pPr>
      <w:r>
        <w:rPr>
          <w:rFonts w:ascii="Outfit" w:hAnsi="Outfit"/>
          <w:b/>
        </w:rPr>
        <w:t>Contorno de Objeções em Tempo Real:</w:t>
      </w:r>
      <w:r>
        <w:rPr>
          <w:rFonts w:ascii="Outfit" w:hAnsi="Outfit"/>
        </w:rPr>
        <w:t xml:space="preserve"> A IA é instruída a contornar ativamente a objeção de "golpe de internet". Ela envia o CNPJ do escritório, links oficiais de consulta e reforça a segurança física do negócio de forma humanizada.</w:t>
      </w:r>
    </w:p>
    <w:p>
      <w:pPr>
        <w:pStyle w:val="ListNumber"/>
        <w:spacing w:before="0" w:after="60" w:line="276" w:lineRule="auto"/>
      </w:pPr>
      <w:r>
        <w:rPr>
          <w:rFonts w:ascii="Outfit" w:hAnsi="Outfit"/>
          <w:b/>
        </w:rPr>
        <w:t>Proposta Híbrida Automatizada (Vídeo + Texto):</w:t>
      </w:r>
      <w:r>
        <w:rPr>
          <w:rFonts w:ascii="Outfit" w:hAnsi="Outfit"/>
        </w:rPr>
        <w:t xml:space="preserve"> Para os qualificados, a IA dispara automaticamente um vídeo explicativo de boas-vindas gravado pelo advogado (que gera conexão e autoridade) seguido do texto de proposta em formato comercial simplificado.</w:t>
      </w:r>
    </w:p>
    <w:p>
      <w:pPr>
        <w:pStyle w:val="ListNumber"/>
        <w:spacing w:before="0" w:after="60" w:line="276" w:lineRule="auto"/>
      </w:pPr>
      <w:r>
        <w:rPr>
          <w:rFonts w:ascii="Outfit" w:hAnsi="Outfit"/>
          <w:b/>
        </w:rPr>
        <w:t>Closer Humano:</w:t>
      </w:r>
      <w:r>
        <w:rPr>
          <w:rFonts w:ascii="Outfit" w:hAnsi="Outfit"/>
        </w:rPr>
        <w:t xml:space="preserve"> O advogado/vendedor entra em cena apenas no momento final do fechamento da proposta ou para sanar dúvidas complexas que a IA sinalizou no CRM.</w:t>
      </w:r>
    </w:p>
    <w:p>
      <w:pPr>
        <w:pBdr>
          <w:bottom w:val="single" w:sz="6" w:space="1" w:color="CBD5E1"/>
        </w:pBdr>
        <w:spacing w:before="240" w:after="240"/>
      </w:pPr>
    </w:p>
    <w:p>
      <w:pPr>
        <w:pStyle w:val="Heading2"/>
        <w:keepNext/>
        <w:spacing w:before="280" w:after="120"/>
      </w:pPr>
      <w:r>
        <w:rPr>
          <w:rFonts w:ascii="Outfit" w:hAnsi="Outfit"/>
          <w:b/>
          <w:color w:val="1E293B"/>
          <w:sz w:val="30"/>
        </w:rPr>
        <w:t>3. Guia de Tráfego &amp; Limites Éticos da OAB (Provimento 205/2021)</w:t>
      </w:r>
    </w:p>
    <w:p>
      <w:pPr>
        <w:spacing w:before="0" w:after="120" w:line="276" w:lineRule="auto"/>
      </w:pPr>
      <w:r>
        <w:rPr>
          <w:rFonts w:ascii="Outfit" w:hAnsi="Outfit"/>
        </w:rPr>
        <w:t>A publicidade na advocacia é regida pelo Provimento 205/2021 do Conselho Federal da OAB. Ignorar estes limites gera processos disciplinares éticos na OAB; respeitá-los permite tracionar campanhas milionárias legalmente.</w:t>
      </w:r>
    </w:p>
    <w:p>
      <w:pPr>
        <w:pStyle w:val="Heading3"/>
        <w:keepNext/>
        <w:spacing w:before="240" w:after="80"/>
      </w:pPr>
      <w:r>
        <w:rPr>
          <w:rFonts w:ascii="Outfit" w:hAnsi="Outfit"/>
          <w:b/>
          <w:color w:val="475569"/>
          <w:sz w:val="24"/>
        </w:rPr>
        <w:t>As Regras de Ouro da Publicidade Ética: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Caráter Informativo:</w:t>
      </w:r>
      <w:r>
        <w:rPr>
          <w:rFonts w:ascii="Outfit" w:hAnsi="Outfit"/>
        </w:rPr>
        <w:t xml:space="preserve"> O anúncio ou post orgânico deve sempre ensinar ou informar (ex: </w:t>
      </w:r>
      <w:r>
        <w:rPr>
          <w:rFonts w:ascii="Outfit" w:hAnsi="Outfit"/>
          <w:i/>
        </w:rPr>
        <w:t>"Quem tem direito ao BPC em 2026?"</w:t>
      </w:r>
      <w:r>
        <w:rPr>
          <w:rFonts w:ascii="Outfit" w:hAnsi="Outfit"/>
        </w:rPr>
        <w:t>), nunca vender diretamente.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Proibição de Mercantilização:</w:t>
      </w:r>
      <w:r>
        <w:rPr>
          <w:rFonts w:ascii="Outfit" w:hAnsi="Outfit"/>
        </w:rPr>
        <w:t xml:space="preserve"> É vetado oferecer descontos, prometer resultados exatos, usar termos comerciais explícitos ("Black Friday", "Compre agora") ou depreciar a imagem da profissão.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Proibição de Comandos Imperativos (Call to Action - CTA):</w:t>
      </w:r>
      <w:r>
        <w:rPr>
          <w:rFonts w:ascii="Outfit" w:hAnsi="Outfit"/>
        </w:rPr>
        <w:t xml:space="preserve"> A OAB proíbe mandar o cliente executar uma ação comercial direta.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Incorreto (Infração Ética):</w:t>
      </w:r>
      <w:r>
        <w:rPr>
          <w:rFonts w:ascii="Outfit" w:hAnsi="Outfit"/>
        </w:rPr>
        <w:t xml:space="preserve"> </w:t>
      </w:r>
      <w:r>
        <w:rPr>
          <w:rFonts w:ascii="Outfit" w:hAnsi="Outfit"/>
          <w:i/>
        </w:rPr>
        <w:t>"Clique aqui e fale com um advogado agora!"</w:t>
      </w:r>
      <w:r>
        <w:rPr>
          <w:rFonts w:ascii="Outfit" w:hAnsi="Outfit"/>
        </w:rPr>
        <w:t xml:space="preserve">, </w:t>
      </w:r>
      <w:r>
        <w:rPr>
          <w:rFonts w:ascii="Outfit" w:hAnsi="Outfit"/>
          <w:i/>
        </w:rPr>
        <w:t>"Aperte no botão e garanta seu benefício!"</w:t>
      </w:r>
      <w:r>
        <w:rPr>
          <w:rFonts w:ascii="Outfit" w:hAnsi="Outfit"/>
        </w:rPr>
        <w:t>.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Correto (Conformidade Ética):</w:t>
      </w:r>
      <w:r>
        <w:rPr>
          <w:rFonts w:ascii="Outfit" w:hAnsi="Outfit"/>
        </w:rPr>
        <w:t xml:space="preserve"> Use verbos no infinitivo. </w:t>
      </w:r>
      <w:r>
        <w:rPr>
          <w:rFonts w:ascii="Outfit" w:hAnsi="Outfit"/>
          <w:i/>
        </w:rPr>
        <w:t xml:space="preserve">"Para falar com um especialista, basta </w:t>
      </w:r>
      <w:r>
        <w:rPr>
          <w:rFonts w:ascii="Outfit" w:hAnsi="Outfit"/>
          <w:i/>
        </w:rPr>
        <w:t>apertar</w:t>
      </w:r>
      <w:r>
        <w:rPr>
          <w:rFonts w:ascii="Outfit" w:hAnsi="Outfit"/>
          <w:i/>
        </w:rPr>
        <w:t xml:space="preserve"> no botão do WhatsApp abaixo"</w:t>
      </w:r>
      <w:r>
        <w:rPr>
          <w:rFonts w:ascii="Outfit" w:hAnsi="Outfit"/>
        </w:rPr>
        <w:t xml:space="preserve">, </w:t>
      </w:r>
      <w:r>
        <w:rPr>
          <w:rFonts w:ascii="Outfit" w:hAnsi="Outfit"/>
          <w:i/>
        </w:rPr>
        <w:t xml:space="preserve">"Se preferir, você pode </w:t>
      </w:r>
      <w:r>
        <w:rPr>
          <w:rFonts w:ascii="Outfit" w:hAnsi="Outfit"/>
          <w:i/>
        </w:rPr>
        <w:t>acessar</w:t>
      </w:r>
      <w:r>
        <w:rPr>
          <w:rFonts w:ascii="Outfit" w:hAnsi="Outfit"/>
          <w:i/>
        </w:rPr>
        <w:t xml:space="preserve"> o botão abaixo para tirar dúvidas"</w:t>
      </w:r>
      <w:r>
        <w:rPr>
          <w:rFonts w:ascii="Outfit" w:hAnsi="Outfit"/>
        </w:rPr>
        <w:t>. A chamada é sugestiva e informativa, não imperativa.</w:t>
      </w:r>
    </w:p>
    <w:p>
      <w:pPr>
        <w:pBdr>
          <w:bottom w:val="single" w:sz="6" w:space="1" w:color="CBD5E1"/>
        </w:pBdr>
        <w:spacing w:before="240" w:after="240"/>
      </w:pPr>
    </w:p>
    <w:p>
      <w:pPr>
        <w:pStyle w:val="Heading2"/>
        <w:keepNext/>
        <w:spacing w:before="280" w:after="120"/>
      </w:pPr>
      <w:r>
        <w:rPr>
          <w:rFonts w:ascii="Outfit" w:hAnsi="Outfit"/>
          <w:b/>
          <w:color w:val="1E293B"/>
          <w:sz w:val="30"/>
        </w:rPr>
        <w:t>4. Contingência e Prevenção de Banimento no WhatsApp</w:t>
      </w:r>
    </w:p>
    <w:p>
      <w:pPr>
        <w:spacing w:before="0" w:after="120" w:line="276" w:lineRule="auto"/>
      </w:pPr>
      <w:r>
        <w:rPr>
          <w:rFonts w:ascii="Outfit" w:hAnsi="Outfit"/>
        </w:rPr>
        <w:t>Ao rodar tráfego pago de volume para o WhatsApp, o número está sujeito a denúncias de usuários desconfiados (achando que é golpe na internet). O método de contingência envolve:</w:t>
      </w:r>
    </w:p>
    <w:p>
      <w:pPr>
        <w:pStyle w:val="ListNumber"/>
        <w:spacing w:before="0" w:after="60" w:line="276" w:lineRule="auto"/>
      </w:pPr>
      <w:r>
        <w:rPr>
          <w:rFonts w:ascii="Outfit" w:hAnsi="Outfit"/>
          <w:b/>
        </w:rPr>
        <w:t>API Oficial (WhatsApp Business Platform):</w:t>
      </w:r>
      <w:r>
        <w:rPr>
          <w:rFonts w:ascii="Outfit" w:hAnsi="Outfit"/>
        </w:rPr>
        <w:t xml:space="preserve"> Utilizar sistemas homologados integrados à API oficial do Meta.</w:t>
      </w:r>
    </w:p>
    <w:p>
      <w:pPr>
        <w:pStyle w:val="ListNumber"/>
        <w:spacing w:before="0" w:after="60" w:line="276" w:lineRule="auto"/>
      </w:pPr>
      <w:r>
        <w:rPr>
          <w:rFonts w:ascii="Outfit" w:hAnsi="Outfit"/>
          <w:b/>
        </w:rPr>
        <w:t>Evitar concorrência de plataformas:</w:t>
      </w:r>
      <w:r>
        <w:rPr>
          <w:rFonts w:ascii="Outfit" w:hAnsi="Outfit"/>
        </w:rPr>
        <w:t xml:space="preserve"> Nunca plugar múltiplos softwares de API ou manter vários acessos do WhatsApp Web ao mesmo número simultaneamente.</w:t>
      </w:r>
    </w:p>
    <w:p>
      <w:pPr>
        <w:pStyle w:val="ListNumber"/>
        <w:spacing w:before="0" w:after="60" w:line="276" w:lineRule="auto"/>
      </w:pPr>
      <w:r>
        <w:rPr>
          <w:rFonts w:ascii="Outfit" w:hAnsi="Outfit"/>
          <w:b/>
        </w:rPr>
        <w:t>Ativação Gradual (Aquecimento):</w:t>
      </w:r>
      <w:r>
        <w:rPr>
          <w:rFonts w:ascii="Outfit" w:hAnsi="Outfit"/>
        </w:rPr>
        <w:t xml:space="preserve"> Aquecer novos chips de atendimento disparando mensagens controladas para contatos conhecidos antes de ligá-los às campanhas de tráfego pago.</w:t>
      </w:r>
    </w:p>
    <w:p>
      <w:pPr>
        <w:pStyle w:val="ListNumber"/>
        <w:spacing w:before="0" w:after="60" w:line="276" w:lineRule="auto"/>
      </w:pPr>
      <w:r>
        <w:rPr>
          <w:rFonts w:ascii="Outfit" w:hAnsi="Outfit"/>
          <w:b/>
        </w:rPr>
        <w:t>Backup Centralizado:</w:t>
      </w:r>
      <w:r>
        <w:rPr>
          <w:rFonts w:ascii="Outfit" w:hAnsi="Outfit"/>
        </w:rPr>
        <w:t xml:space="preserve"> Garantir que todas as conversas e dados de leads estejam sincronizados em tempo real com o CRM para que, caso um número caia, o histórico não seja perdido.</w:t>
      </w:r>
    </w:p>
    <w:p>
      <w:pPr>
        <w:pBdr>
          <w:bottom w:val="single" w:sz="6" w:space="1" w:color="CBD5E1"/>
        </w:pBdr>
        <w:spacing w:before="240" w:after="240"/>
      </w:pPr>
    </w:p>
    <w:p>
      <w:pPr>
        <w:pStyle w:val="Heading2"/>
        <w:keepNext/>
        <w:spacing w:before="280" w:after="120"/>
      </w:pPr>
      <w:r>
        <w:rPr>
          <w:rFonts w:ascii="Outfit" w:hAnsi="Outfit"/>
          <w:b/>
          <w:color w:val="1E293B"/>
          <w:sz w:val="30"/>
        </w:rPr>
        <w:t>5. IA de Produção Jurídica Seguro</w:t>
      </w:r>
    </w:p>
    <w:p>
      <w:pPr>
        <w:spacing w:before="0" w:after="120" w:line="276" w:lineRule="auto"/>
      </w:pPr>
      <w:r>
        <w:rPr>
          <w:rFonts w:ascii="Outfit" w:hAnsi="Outfit"/>
        </w:rPr>
        <w:t>A redação de petições, recursos e contratos por IAs genéricas (como ChatGPT de prateleira) gera alucinações de jurisprudência inexistente e erros técnicos crassos.</w:t>
      </w:r>
    </w:p>
    <w:p>
      <w:pPr>
        <w:pStyle w:val="Heading3"/>
        <w:keepNext/>
        <w:spacing w:before="240" w:after="80"/>
      </w:pPr>
      <w:r>
        <w:rPr>
          <w:rFonts w:ascii="Outfit" w:hAnsi="Outfit"/>
          <w:b/>
          <w:color w:val="475569"/>
          <w:sz w:val="24"/>
        </w:rPr>
        <w:t>O Método de Produção Seguro: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Base de Conhecimento Rígida:</w:t>
      </w:r>
      <w:r>
        <w:rPr>
          <w:rFonts w:ascii="Outfit" w:hAnsi="Outfit"/>
        </w:rPr>
        <w:t xml:space="preserve"> Fornecer à IA (preferencialmente modelos com alta janela de contexto como Claude Pro ou Gemini Advanced) os modelos de petições aprovados pelo escritório e a jurisprudência consolidada dos tribunais locais.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Prompt com Restrição de Escopo:</w:t>
      </w:r>
      <w:r>
        <w:rPr>
          <w:rFonts w:ascii="Outfit" w:hAnsi="Outfit"/>
        </w:rPr>
        <w:t xml:space="preserve"> Instruir a IA a utilizar </w:t>
      </w:r>
      <w:r>
        <w:rPr>
          <w:rFonts w:ascii="Outfit" w:hAnsi="Outfit"/>
          <w:b/>
        </w:rPr>
        <w:t>apenas</w:t>
      </w:r>
      <w:r>
        <w:rPr>
          <w:rFonts w:ascii="Outfit" w:hAnsi="Outfit"/>
        </w:rPr>
        <w:t xml:space="preserve"> a base de conhecimento anexada para fundamentar o direito. Se a resposta não estiver na base, ela deve sinalizar ao advogado em vez de inventar jurisprudência.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Revisão Humana Obrigatória:</w:t>
      </w:r>
      <w:r>
        <w:rPr>
          <w:rFonts w:ascii="Outfit" w:hAnsi="Outfit"/>
        </w:rPr>
        <w:t xml:space="preserve"> O advogado sempre atua como revisor técnico e validador final de toda peça produzida pela IA.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Outfit" w:hAnsi="Outfit"/>
        <w:color w:val="94A3B8"/>
        <w:sz w:val="17"/>
      </w:rPr>
      <w:t>Vértice Estratégia | Playbook - Metodo Vertice de Escala Comercial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utfit" w:hAnsi="Outfit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