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BD5E1"/>
        </w:pBdr>
        <w:spacing w:before="240" w:after="240"/>
      </w:pPr>
    </w:p>
    <w:p>
      <w:pPr>
        <w:spacing w:before="0" w:after="120" w:line="276" w:lineRule="auto"/>
      </w:pPr>
      <w:r>
        <w:rPr>
          <w:rFonts w:ascii="Outfit" w:hAnsi="Outfit"/>
        </w:rPr>
        <w:t>tipo: tipo/procedimento</w:t>
      </w:r>
    </w:p>
    <w:p>
      <w:pPr>
        <w:spacing w:before="0" w:after="120" w:line="276" w:lineRule="auto"/>
      </w:pPr>
      <w:r>
        <w:rPr>
          <w:rFonts w:ascii="Outfit" w:hAnsi="Outfit"/>
        </w:rPr>
        <w:t>status: status/ativo</w:t>
      </w:r>
    </w:p>
    <w:p>
      <w:pPr>
        <w:spacing w:before="0" w:after="120" w:line="276" w:lineRule="auto"/>
      </w:pPr>
      <w:r>
        <w:rPr>
          <w:rFonts w:ascii="Outfit" w:hAnsi="Outfit"/>
        </w:rPr>
        <w:t>criada: 2026-06-17</w:t>
      </w:r>
    </w:p>
    <w:p>
      <w:pPr>
        <w:spacing w:before="0" w:after="120" w:line="276" w:lineRule="auto"/>
      </w:pPr>
      <w:r>
        <w:rPr>
          <w:rFonts w:ascii="Outfit" w:hAnsi="Outfit"/>
        </w:rPr>
        <w:t>tags: [tipo/procedimento, vertice, infoprodutos, vendas, inteligencia-artificial, oab]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1"/>
        <w:keepNext/>
        <w:spacing w:before="360" w:after="160"/>
      </w:pPr>
      <w:r>
        <w:rPr>
          <w:rFonts w:ascii="Outfit" w:hAnsi="Outfit"/>
          <w:b/>
          <w:color w:val="0F172A"/>
          <w:sz w:val="40"/>
        </w:rPr>
        <w:t>PLAYBOOK: PROTOCOLO COMERCIAL HÍBRIDO</w:t>
      </w: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Otimização de Conversão Digital: Do WhatsApp ao Fechamento de Contratos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INTRODUÇÃO E DIRETRIZES ÉTICAS (OAB PROVIMENTO 205/2021)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A advocacia moderna exige escalabilidade sem perda de autoridade ou infração ética. Este playbook define o </w:t>
      </w:r>
      <w:r>
        <w:rPr>
          <w:rFonts w:ascii="Outfit" w:hAnsi="Outfit"/>
          <w:b/>
        </w:rPr>
        <w:t>Protocolo Comercial Híbrido da Vértice</w:t>
      </w:r>
      <w:r>
        <w:rPr>
          <w:rFonts w:ascii="Outfit" w:hAnsi="Outfit"/>
        </w:rPr>
        <w:t xml:space="preserve">, um sistema desenvolvido especificamente para escritórios de advocacia que buscam estruturar sua operação de vendas combinando </w:t>
      </w:r>
      <w:r>
        <w:rPr>
          <w:rFonts w:ascii="Outfit" w:hAnsi="Outfit"/>
          <w:b/>
        </w:rPr>
        <w:t>Inteligência Artificial (SDR de IA)</w:t>
      </w:r>
      <w:r>
        <w:rPr>
          <w:rFonts w:ascii="Outfit" w:hAnsi="Outfit"/>
        </w:rPr>
        <w:t xml:space="preserve"> e </w:t>
      </w:r>
      <w:r>
        <w:rPr>
          <w:rFonts w:ascii="Outfit" w:hAnsi="Outfit"/>
          <w:b/>
        </w:rPr>
        <w:t>Sensibilidade Técnica Humana (Closer)</w:t>
      </w:r>
      <w:r>
        <w:rPr>
          <w:rFonts w:ascii="Outfit" w:hAnsi="Outfit"/>
        </w:rPr>
        <w:t>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Pilares de Conformidade Ética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Em estrita observância ao </w:t>
      </w:r>
      <w:r>
        <w:rPr>
          <w:rFonts w:ascii="Outfit" w:hAnsi="Outfit"/>
          <w:b/>
        </w:rPr>
        <w:t>Provimento 205/2021</w:t>
      </w:r>
      <w:r>
        <w:rPr>
          <w:rFonts w:ascii="Outfit" w:hAnsi="Outfit"/>
        </w:rPr>
        <w:t xml:space="preserve"> e ao Código de Ética e Disciplina da OAB, toda a comunicação automatizada e humana descrita neste documento rege-se pelos seguintes critérios: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Caráter Exclusivamente Informativo:</w:t>
      </w:r>
      <w:r>
        <w:rPr>
          <w:rFonts w:ascii="Outfit" w:hAnsi="Outfit"/>
        </w:rPr>
        <w:t xml:space="preserve"> Proibi-se o uso de expressões persuasivas de cunho comercial ("desconto", "promoção", "feche agora", "últimas vagas").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CTAs (Call to Action) no Infinitivo:</w:t>
      </w:r>
      <w:r>
        <w:rPr>
          <w:rFonts w:ascii="Outfit" w:hAnsi="Outfit"/>
        </w:rPr>
        <w:t xml:space="preserve"> Conforme recomendação regulatória, os botões e chamadas para ação devem adotar verbos no infinitivo (ex: </w:t>
      </w:r>
      <w:r>
        <w:rPr>
          <w:rFonts w:ascii="Outfit" w:hAnsi="Outfit"/>
          <w:i/>
        </w:rPr>
        <w:t>agendar consulta</w:t>
      </w:r>
      <w:r>
        <w:rPr>
          <w:rFonts w:ascii="Outfit" w:hAnsi="Outfit"/>
        </w:rPr>
        <w:t xml:space="preserve">, </w:t>
      </w:r>
      <w:r>
        <w:rPr>
          <w:rFonts w:ascii="Outfit" w:hAnsi="Outfit"/>
          <w:i/>
        </w:rPr>
        <w:t>verificar elegibilidade</w:t>
      </w:r>
      <w:r>
        <w:rPr>
          <w:rFonts w:ascii="Outfit" w:hAnsi="Outfit"/>
        </w:rPr>
        <w:t xml:space="preserve">, </w:t>
      </w:r>
      <w:r>
        <w:rPr>
          <w:rFonts w:ascii="Outfit" w:hAnsi="Outfit"/>
          <w:i/>
        </w:rPr>
        <w:t>analisar caso</w:t>
      </w:r>
      <w:r>
        <w:rPr>
          <w:rFonts w:ascii="Outfit" w:hAnsi="Outfit"/>
        </w:rPr>
        <w:t>), eliminando o tom imperativo coercitivo (</w:t>
      </w:r>
      <w:r>
        <w:rPr>
          <w:rFonts w:ascii="Outfit" w:hAnsi="Outfit"/>
          <w:i/>
        </w:rPr>
        <w:t>agende</w:t>
      </w:r>
      <w:r>
        <w:rPr>
          <w:rFonts w:ascii="Outfit" w:hAnsi="Outfit"/>
        </w:rPr>
        <w:t xml:space="preserve">, </w:t>
      </w:r>
      <w:r>
        <w:rPr>
          <w:rFonts w:ascii="Outfit" w:hAnsi="Outfit"/>
          <w:i/>
        </w:rPr>
        <w:t>veja</w:t>
      </w:r>
      <w:r>
        <w:rPr>
          <w:rFonts w:ascii="Outfit" w:hAnsi="Outfit"/>
        </w:rPr>
        <w:t xml:space="preserve">, </w:t>
      </w:r>
      <w:r>
        <w:rPr>
          <w:rFonts w:ascii="Outfit" w:hAnsi="Outfit"/>
          <w:i/>
        </w:rPr>
        <w:t>analise</w:t>
      </w:r>
      <w:r>
        <w:rPr>
          <w:rFonts w:ascii="Outfit" w:hAnsi="Outfit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Vedação à Captação Ativa de Clientes (Outbound Frio):</w:t>
      </w:r>
      <w:r>
        <w:rPr>
          <w:rFonts w:ascii="Outfit" w:hAnsi="Outfit"/>
        </w:rPr>
        <w:t xml:space="preserve"> O protocolo é aplicado unicamente a leads que iniciaram o contato de forma voluntária (Inbound) por meio de anúncios informativos autorizados.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MÓDULO 1: O FUNIL COMERCIAL HÍBRIDO</w:t>
      </w:r>
    </w:p>
    <w:p>
      <w:pPr>
        <w:spacing w:before="0" w:after="120" w:line="276" w:lineRule="auto"/>
      </w:pPr>
      <w:r>
        <w:rPr>
          <w:rFonts w:ascii="Outfit" w:hAnsi="Outfit"/>
        </w:rPr>
        <w:t>A eficiência comercial é calculada pela relação entre a velocidade de resposta (SLA) e o custo de hora técnica do advogado. O funil híbrido otimiza essa equação dividindo a operação em duas funções claras.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/>
              <w:bottom w:val="none"/>
              <w:left w:val="single" w:sz="24" w:space="0" w:color="EF4444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b/>
                <w:color w:val="0F172A"/>
                <w:sz w:val="20"/>
              </w:rPr>
              <w:t xml:space="preserve">[IMPORTANT] </w:t>
            </w:r>
            <w:r>
              <w:rPr>
                <w:rFonts w:ascii="Outfit" w:hAnsi="Outfit"/>
                <w:b/>
                <w:i/>
              </w:rPr>
              <w:t>Fundamentação de Legalidade Processual (TJMG - AC 5044610-22.2024.8.13.0702):</w:t>
            </w:r>
          </w:p>
          <w:p>
            <w:pPr>
              <w:spacing w:before="80" w:after="80" w:line="276" w:lineRule="auto"/>
            </w:pPr>
            <w:r>
              <w:rPr>
                <w:rFonts w:ascii="Outfit" w:hAnsi="Outfit"/>
                <w:i/>
              </w:rPr>
              <w:t xml:space="preserve">A transição obrigatória para o Closer Humano não é apenas uma estratégia de fechamento comercial, mas uma blindagem jurídica essencial. O Tribunal de Justiça de Minas Gerais firmou entendimento de que a contratação de advocacia de forma </w:t>
            </w:r>
            <w:r>
              <w:rPr>
                <w:rFonts w:ascii="Outfit" w:hAnsi="Outfit"/>
                <w:i/>
              </w:rPr>
              <w:t>exclusivamente virtual</w:t>
            </w:r>
            <w:r>
              <w:rPr>
                <w:rFonts w:ascii="Outfit" w:hAnsi="Outfit"/>
                <w:i/>
              </w:rPr>
              <w:t xml:space="preserve">, sem qualquer relação de pessoalidade ou contato direto com um advogado humano (mandato formalizado puramente por robôs de WhatsApp e sistemas automatizados), viola a ética profissional do Provimento 205/2021 da OAB e o art. 34, IV da Lei 8.906/94, configurando </w:t>
            </w:r>
            <w:r>
              <w:rPr>
                <w:rFonts w:ascii="Outfit" w:hAnsi="Outfit"/>
                <w:b/>
                <w:i/>
              </w:rPr>
              <w:t>captação irregular de clientela</w:t>
            </w:r>
            <w:r>
              <w:rPr>
                <w:rFonts w:ascii="Outfit" w:hAnsi="Outfit"/>
                <w:i/>
              </w:rPr>
              <w:t xml:space="preserve"> e </w:t>
            </w:r>
            <w:r>
              <w:rPr>
                <w:rFonts w:ascii="Outfit" w:hAnsi="Outfit"/>
                <w:b/>
                <w:i/>
              </w:rPr>
              <w:t>litigância predatória</w:t>
            </w:r>
            <w:r>
              <w:rPr>
                <w:rFonts w:ascii="Outfit" w:hAnsi="Outfit"/>
                <w:i/>
              </w:rPr>
              <w:t xml:space="preserve">, o que gera a </w:t>
            </w:r>
            <w:r>
              <w:rPr>
                <w:rFonts w:ascii="Outfit" w:hAnsi="Outfit"/>
                <w:b/>
                <w:i/>
              </w:rPr>
              <w:t>extinção do processo sem julgamento de mérito</w:t>
            </w:r>
            <w:r>
              <w:rPr>
                <w:rFonts w:ascii="Outfit" w:hAnsi="Outfit"/>
                <w:i/>
              </w:rPr>
              <w:t>.</w:t>
            </w:r>
          </w:p>
          <w:p>
            <w:pPr>
              <w:spacing w:before="80" w:after="80" w:line="276" w:lineRule="auto"/>
            </w:pPr>
            <w:r>
              <w:rPr>
                <w:rFonts w:ascii="Outfit" w:hAnsi="Outfit"/>
                <w:i/>
              </w:rPr>
              <w:t>Portanto, o hibridismo (IA atua na triagem e o advogado sênior assume a formalização e análise final do caso) é o único fluxo juridicamente seguro nos tribunais brasileiros.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1.1 Matriz de Atribuições: SDR de IA vs. Closer Humano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2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SDR de IA (Triagem)</w:t>
            </w:r>
          </w:p>
        </w:tc>
        <w:tc>
          <w:tcPr>
            <w:tcW w:type="dxa" w:w="312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FFFFFF"/>
                <w:sz w:val="20"/>
              </w:rPr>
              <w:t>Closer Humano (Fechador)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Tempo de Resposta (SLA)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&lt; 2 minutos (Tempo Real, 24/7)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Até 15 minutos em horário comercial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Objetivo Principal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Triagem, filtro de perfil (ICP) e coleta de dados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Apresentação técnica, precificação e fechamento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Escopo de Atuação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Identificação de patologias, renda e tempo de serviço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Diagnóstico estratégico e assinatura do contrato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Limitação Ética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Vedado qualquer tipo de aconselhamento jurídico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Emissão de parecer preliminar e proposta formal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Custo por Interação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Centavos de dólar (custo de API / tokens)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Alto (medido em horas de advogado sênior)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Garantia de Pessoalidade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color w:val="334155"/>
                <w:sz w:val="19"/>
              </w:rPr>
              <w:t>Nenhuma (Fase Automatizada Pré-Comercial)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Outfit" w:hAnsi="Outfit"/>
                <w:b/>
                <w:color w:val="334155"/>
                <w:sz w:val="19"/>
              </w:rPr>
              <w:t>Obrigatória</w:t>
            </w:r>
            <w:r>
              <w:rPr>
                <w:rFonts w:ascii="Outfit" w:hAnsi="Outfit"/>
                <w:color w:val="334155"/>
                <w:sz w:val="19"/>
              </w:rPr>
              <w:t xml:space="preserve"> (Garante a validade ética do mandato judicial)</w:t>
            </w:r>
          </w:p>
        </w:tc>
      </w:tr>
    </w:tbl>
    <w:p>
      <w:pPr>
        <w:spacing w:before="160" w:after="16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1.2 Integração Tecnológica e Fluxo no CRM</w:t>
      </w:r>
    </w:p>
    <w:p>
      <w:pPr>
        <w:spacing w:before="0" w:after="120" w:line="276" w:lineRule="auto"/>
      </w:pPr>
      <w:r>
        <w:rPr>
          <w:rFonts w:ascii="Outfit" w:hAnsi="Outfit"/>
        </w:rPr>
        <w:t>O ecossistema comercial do escritório é integrado via API Webhooks. As ferramentas recomendadas incluem: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Orquestrador de Mensagens:</w:t>
      </w:r>
      <w:r>
        <w:rPr>
          <w:rFonts w:ascii="Outfit" w:hAnsi="Outfit"/>
        </w:rPr>
        <w:t xml:space="preserve"> Evolution API, Z-API ou Chat Guru.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Motor de IA:</w:t>
      </w:r>
      <w:r>
        <w:rPr>
          <w:rFonts w:ascii="Outfit" w:hAnsi="Outfit"/>
        </w:rPr>
        <w:t xml:space="preserve"> OpenAI API (GPT-4o ou GPT-4o-mini).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CRM de Vendas:</w:t>
      </w:r>
      <w:r>
        <w:rPr>
          <w:rFonts w:ascii="Outfit" w:hAnsi="Outfit"/>
        </w:rPr>
        <w:t xml:space="preserve"> Leader Hub, ActiveCampaign ou Pipefy.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O Fluxo de Transição de Leads (Hand-off)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Entrada:</w:t>
      </w:r>
      <w:r>
        <w:rPr>
          <w:rFonts w:ascii="Outfit" w:hAnsi="Outfit"/>
        </w:rPr>
        <w:t xml:space="preserve"> O lead clica no anúncio e envia a primeira mensagem no WhatsApp.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Qualificação:</w:t>
      </w:r>
      <w:r>
        <w:rPr>
          <w:rFonts w:ascii="Outfit" w:hAnsi="Outfit"/>
        </w:rPr>
        <w:t xml:space="preserve"> A IA (SDR) assume o chat de forma invisível ou declarada (preferencialmente declarada como "Assistente Virtual de Triagem") e realiza as perguntas de qualificação.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Critério de Corte (Exemplo BPC/LOAS):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i/>
        </w:rPr>
        <w:t>Renda familiar per capita</w:t>
      </w:r>
      <w:r>
        <w:rPr>
          <w:rFonts w:ascii="Outfit" w:hAnsi="Outfit"/>
        </w:rPr>
        <w:t xml:space="preserve"> &gt; 1/4 do salário mínimo (salvo exceções judicializáveis).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i/>
        </w:rPr>
        <w:t>Deficiência</w:t>
      </w:r>
      <w:r>
        <w:rPr>
          <w:rFonts w:ascii="Outfit" w:hAnsi="Outfit"/>
        </w:rPr>
        <w:t xml:space="preserve"> incapacitante para o trabalho ou </w:t>
      </w:r>
      <w:r>
        <w:rPr>
          <w:rFonts w:ascii="Outfit" w:hAnsi="Outfit"/>
          <w:i/>
        </w:rPr>
        <w:t>idade</w:t>
      </w:r>
      <w:r>
        <w:rPr>
          <w:rFonts w:ascii="Outfit" w:hAnsi="Outfit"/>
        </w:rPr>
        <w:t xml:space="preserve"> superior a 65 anos.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 xml:space="preserve">Se não qualificar: A IA envia mensagem informativa educada e encerra o fluxo com tag </w:t>
      </w:r>
      <w:r>
        <w:rPr>
          <w:rFonts w:ascii="Consolas" w:hAnsi="Consolas"/>
          <w:color w:val="6366F1"/>
          <w:sz w:val="19"/>
        </w:rPr>
        <w:t>Fora do Perfil</w:t>
      </w:r>
      <w:r>
        <w:rPr>
          <w:rFonts w:ascii="Outfit" w:hAnsi="Outfit"/>
        </w:rPr>
        <w:t>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 xml:space="preserve">Se qualificar: A IA atualiza o status do lead para </w:t>
      </w:r>
      <w:r>
        <w:rPr>
          <w:rFonts w:ascii="Consolas" w:hAnsi="Consolas"/>
          <w:color w:val="6366F1"/>
          <w:sz w:val="19"/>
        </w:rPr>
        <w:t>Qualificado (MQL)</w:t>
      </w:r>
      <w:r>
        <w:rPr>
          <w:rFonts w:ascii="Outfit" w:hAnsi="Outfit"/>
        </w:rPr>
        <w:t xml:space="preserve"> e dispara o webhook para o CRM.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Distribuição:</w:t>
      </w:r>
      <w:r>
        <w:rPr>
          <w:rFonts w:ascii="Outfit" w:hAnsi="Outfit"/>
        </w:rPr>
        <w:t xml:space="preserve"> O CRM aloca o lead para a fila do Closer Humano (utilizando o modelo </w:t>
      </w:r>
      <w:r>
        <w:rPr>
          <w:rFonts w:ascii="Outfit" w:hAnsi="Outfit"/>
          <w:i/>
        </w:rPr>
        <w:t>Round Robin</w:t>
      </w:r>
      <w:r>
        <w:rPr>
          <w:rFonts w:ascii="Outfit" w:hAnsi="Outfit"/>
        </w:rPr>
        <w:t xml:space="preserve"> de distribuição igualitária).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Aviso de Transição:</w:t>
      </w:r>
      <w:r>
        <w:rPr>
          <w:rFonts w:ascii="Outfit" w:hAnsi="Outfit"/>
        </w:rPr>
        <w:t xml:space="preserve"> O Closer recebe uma notificação com o resumo da qualificação gerado pela IA. O Closer assume a conversa humanizada.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MÓDULO 2: O PROMPT MESTRE DO SDR DE IA (WHATSAPP)</w:t>
      </w:r>
    </w:p>
    <w:p>
      <w:pPr>
        <w:spacing w:before="0" w:after="120" w:line="276" w:lineRule="auto"/>
      </w:pPr>
      <w:r>
        <w:rPr>
          <w:rFonts w:ascii="Outfit" w:hAnsi="Outfit"/>
        </w:rPr>
        <w:t>Este prompt deve ser inserido nas configurações do agente do sistema no assistente de inteligência artificial do WhatsApp (ex: instâncias do Typebot ou integrações diretas do OpenAI Assistant).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SYSTEM PROMPT: ASSISTENTE DE TRIAGEM COMERCIAL (VÉRTICE LAW)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## PERSONA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Você é a "Helena", assistente virtual de triagem do escritório [Nome do Escritório]. Seu tom é estritamente profissional, técnico, empático e objetivo. Você não utiliza gírias, emojis excessivos (use no máximo um por mensagem para pontuar), nem termos informais como "querido(a)", "amigo(a)" ou clichês comerciais.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## DIRETRIZ ÉTICA E RESTRIÇÃO DE ESCOPO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IMPORTANTE: Você NÃO é advogada. Você NÃO fornece consultas jurídicas, NÃO dá pareceres, NÃO analisa chances de ganho e NÃO calcula valores de aposentadoria ou benefícios.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Seu único objetivo é coletar informações para verificar a elegibilidade do caso para posterior análise pelo advogado especialista (Closer).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Se o cliente fizer perguntas jurídicas, responda de forma neutra: "Esta questão técnica será analisada pelo advogado especialista durante o atendimento personalizado. Para prosseguir com o agendamento da análise, preciso confirmar algumas informações do seu perfil."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## REGRAS DE COMPORTAMENTO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1. Mensagens curtas: No WhatsApp, as pessoas não leem blocos densos de texto. Suas mensagens devem ter no máximo 3 linhas.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2. Pergunta única: Faça apenas UMA pergunta por mensagem. Nunca acumule perguntas. Aguarde a resposta do usuário antes de prosseguir.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3. Tratamento: Trate o usuário por "Senhor" ou "Senhora", respeitando a formalidade exigida na advocacia.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## ROTEIRO DE QUALIFICAÇÃO - BPC/LOAS (BENEFÍCIO DE PRESTAÇÃO CONTINUADA)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Siga estritamente esta ordem de perguntas de triagem, embutindo os critérios de qualificação e as regras jurisprudenciais de exclusão de renda: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1 (Boas-vindas):** "Olá. Seja bem-vindo ao atendimento do [Nome do Escritório]. Sou a Helena, assistente virtual de triagem. Para darmos início à verificação do seu caso, qual é o seu nome completo?"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2 (Confirmação da situação de saúde ou idade):** "Agradeço, Senhor(a) {{nome}}. O benefício assistencial BPC/LOAS é destinado a pessoas idosas (65 anos ou mais) ou com condições de saúde/deficiências de longo prazo. O pedido seria para o Senhor(a) ou para um familiar? Qual é a idade da pessoa que precisa do benefício?"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3 (Grupo Familiar e Renda):** "Entendido. Para darmos início à verificação, preciso compreender quem reside com o Senhor(a). Quantas pessoas moram na mesma casa atualmente?"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4 (Exclusão Jurisprudencial de Benefícios - Tema 312 STF &amp; Tema 573/640 STJ):** "Certo. Algum morador da casa já recebe aposentadoria, pensão ou outro BPC do INSS no valor de um salário mínimo? *(Instrução interna da IA: Se sim, ignore este valor da renda familiar. Pelo art. 20, § 14 da LOAS e precedentes vinculantes do STF/STJ, benefícios previdenciários e assistenciais de valor mínimo recebidos por idoso ou pessoa com deficiência do mesmo lar são excluídos do cálculo da renda per capita)*"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5 (Soma de Outras Rendas):** "Excluindo a aposentadoria/benefício de salário mínimo que mencionou (se houver), qual é a soma dos ganhos mensais das outras pessoas da casa que trabalham ou recebem outros valores?"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6 (Abatimento por Despesas de Saúde - Tema 27 STF &amp; Tema 185 STJ):** "Compreendi. A família possui gastos mensais regulares e elevados com medicamentos de uso contínuo, fraldas descartáveis, alimentação especial ou exames médicos que o SUS não fornece gratuitamente? *(Instrução interna da IA: Gastos médicos elevados relativizam o teto de 1/4 do salário mínimo por configurar presunção de miserabilidade em conformidade com as teses firmadas no STF RE 567.985 e STJ REsp 1.112.557)*"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**MENSAGEM 7 (Inscrição no CadÚnico):** "A inscrição no CadÚnico do Governo Federal (Cadastro Único) está ativa e atualizada nos últimos dois anos?"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## CRITÉRIO DE ENCERRAMENTO E HAND-OFF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**Se o lead demonstrar perfil elegível (MQL_Elegivel):**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"Obrigada por enviar as informações preliminares. O seu perfil atende aos requisitos iniciais para análise do nosso setor especializado. Vou transferir este atendimento para o advogado responsável. Para adiantar, por favor, enviar uma foto de um documento de identidade (RG ou CNH) para validação."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[Ação: Disparar Webhook para CRM com tag "MQL_Elegivel", anexando o resumo da triagem contendo: Renda Declarada, Despesas de Saúde Relatadas e Benefícios Excluídos do Cálculo, e notificar o Closer]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*   **Se o lead não demonstrar elegibilidade óbvia:**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"Com base nos dados declarados, o cenário atual diverge dos critérios objetivos exigidos por lei para a concessão do BPC/LOAS. Recomendamos buscar o posto do CRAS mais próximo da sua residência para atualização cadastral. Agradecemos o contato."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[Ação: Encerrar atendimento no CRM com tag "Lead_Nao_Qualificado"]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MÓDULO 3: CONTORNO DE OBJEÇÕES (O "FANTASMA" DO GOLPE DE INTERNET)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Com o aumento de fraudes virtuais, é comum que leads qualificados desconfiem do atendimento digital de um escritório de advocacia. O desvio ético seria usar apelos emocionais ou garantias excessivas. A resposta técnica deve basear-se na </w:t>
      </w:r>
      <w:r>
        <w:rPr>
          <w:rFonts w:ascii="Outfit" w:hAnsi="Outfit"/>
          <w:b/>
        </w:rPr>
        <w:t>Rastreabilidade Institucional</w:t>
      </w:r>
      <w:r>
        <w:rPr>
          <w:rFonts w:ascii="Outfit" w:hAnsi="Outfit"/>
        </w:rPr>
        <w:t xml:space="preserve"> e na </w:t>
      </w:r>
      <w:r>
        <w:rPr>
          <w:rFonts w:ascii="Outfit" w:hAnsi="Outfit"/>
          <w:b/>
        </w:rPr>
        <w:t>Transparência Pública</w:t>
      </w:r>
      <w:r>
        <w:rPr>
          <w:rFonts w:ascii="Outfit" w:hAnsi="Outfit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/>
              <w:bottom w:val="none"/>
              <w:left w:val="single" w:sz="24" w:space="0" w:color="EF4444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b/>
                <w:color w:val="0F172A"/>
                <w:sz w:val="20"/>
              </w:rPr>
              <w:t xml:space="preserve">[CAUTION] </w:t>
            </w:r>
            <w:r>
              <w:rPr>
                <w:rFonts w:ascii="Outfit" w:hAnsi="Outfit"/>
                <w:b/>
                <w:i/>
              </w:rPr>
              <w:t>Dever Ético de Publicidade Institucional (TRF4 - AC 5013742-88.2020.4.04.7200):</w:t>
            </w:r>
          </w:p>
          <w:p>
            <w:pPr>
              <w:spacing w:before="80" w:after="80" w:line="276" w:lineRule="auto"/>
            </w:pPr>
            <w:r>
              <w:rPr>
                <w:rFonts w:ascii="Outfit" w:hAnsi="Outfit"/>
                <w:i/>
              </w:rPr>
              <w:t xml:space="preserve">O Tribunal Regional Federal da 4ª Região condenou advogado por captação ilegal de clientela por manter publicidade e prospecção ativa de contratos utilizando sites com </w:t>
            </w:r>
            <w:r>
              <w:rPr>
                <w:rFonts w:ascii="Outfit" w:hAnsi="Outfit"/>
                <w:b/>
                <w:i/>
              </w:rPr>
              <w:t>marca de fantasia comercial</w:t>
            </w:r>
            <w:r>
              <w:rPr>
                <w:rFonts w:ascii="Outfit" w:hAnsi="Outfit"/>
                <w:i/>
              </w:rPr>
              <w:t xml:space="preserve"> ("Indenizar Meu Voo"). O uso de pseudônimos comerciais, marcas dissociadas da sociedade de advogados registrada ou landing pages com promessas mercantis configura infração ao art. 34, IV da Lei 8.906/94 e art. 39/40 do Código de Ética da OAB.</w:t>
            </w:r>
          </w:p>
          <w:p>
            <w:pPr>
              <w:spacing w:before="80" w:after="80" w:line="276" w:lineRule="auto"/>
            </w:pPr>
            <w:r>
              <w:rPr>
                <w:rFonts w:ascii="Outfit" w:hAnsi="Outfit"/>
                <w:i/>
              </w:rPr>
              <w:t>A Vértice ressalta que toda publicidade digital deve obrigatoriamente veicular a marca institucional do escritório de advocacia ou o registro dos advogados sócios. O contorno de objeções de golpe deve, portanto, evidenciar essa rastreabilidade institucional imediata.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3.1 Protocolo de Validação de Credibilidade da IA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Quando o lead expressar desconfiança (ex: </w:t>
      </w:r>
      <w:r>
        <w:rPr>
          <w:rFonts w:ascii="Outfit" w:hAnsi="Outfit"/>
          <w:i/>
        </w:rPr>
        <w:t>"Como vou saber se isso não é golpe?", "Não mando meus documentos pelo WhatsApp", "Vocês são reais?"</w:t>
      </w:r>
      <w:r>
        <w:rPr>
          <w:rFonts w:ascii="Outfit" w:hAnsi="Outfit"/>
        </w:rPr>
        <w:t>), a IA deve pausar a triagem de perfil imediatamente e responder com clareza documental.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Script 01: Validação Institucional do Escritório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Compreendo perfeitamente a sua cautela, Senhor(a) {{nome}}. A segurança dos seus dados é a nossa prioridade. Para que possa verificar a regularidade do nosso escritório, disponibilizamos os nossos dados institucionais oficiais: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1. Razão Social: [Nome Completo da Sociedade de Advogados]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2. CNPJ: [00.000.000/0001-00]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3. Registro OAB: OAB/{{Estado}} nº {{Número da Sociedade}}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 Senhor(a) pode consultar estes dados diretamente no site oficial da Receita Federal do Brasil para confirmar nossa existência ativa.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Script 02: Consulta da Credibilidade dos Advogados (CNA/OAB)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Para a sua segurança jurídica, o Senhor(a) pode realizar a verificação do registro profissional de nossos advogados no portal público do Conselho Federal da OAB (Cadastro Nacional de Advogados).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- Nome do Advogado Sócio: [Nome do Advogado]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- Inscrição OAB: OAB/{{Estado}} nº {{Número}}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- Link oficial de consulta: cna.oab.org.br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Basta inserir o nome ou o número de inscrição indicado acima para certificar-se da nossa regularidade profissional antes de enviar qualquer documento.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Script 03: Política de Proteção de Dados (LGPD)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Esclarecemos que o envio de seus documentos visa exclusivamente instruir a análise de viabilidade do seu benefício previdenciário. Os dados compartilhados são protegidos em conformidade com a Lei Geral de Proteção de Dados (Lei 13.709/2018) e o sigilo profissional garantido pelo Estatuto da Advocacia. Caso prefira, o Senhor(a) pode ocultar os números dos documentos (deixando visíveis apenas o nome e a foto) nesta fase inicial de triagem.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MÓDULO 4: A PROPOSTA HÍBRIDA E O SCRIPT DO CLOSER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Após a confirmação da elegibilidade do lead pelo SDR de IA, o Closer Humano entra em ação. Para humanizar a transição e quebrar a barreira fria do texto digital, o escritório utiliza um </w:t>
      </w:r>
      <w:r>
        <w:rPr>
          <w:rFonts w:ascii="Outfit" w:hAnsi="Outfit"/>
          <w:b/>
        </w:rPr>
        <w:t>Vídeo Curto de Boas-Vindas Automatizado</w:t>
      </w:r>
      <w:r>
        <w:rPr>
          <w:rFonts w:ascii="Outfit" w:hAnsi="Outfit"/>
        </w:rPr>
        <w:t xml:space="preserve">, seguido pelo envio da </w:t>
      </w:r>
      <w:r>
        <w:rPr>
          <w:rFonts w:ascii="Outfit" w:hAnsi="Outfit"/>
          <w:b/>
        </w:rPr>
        <w:t>Proposta WhatsApp</w:t>
      </w:r>
      <w:r>
        <w:rPr>
          <w:rFonts w:ascii="Outfit" w:hAnsi="Outfit"/>
        </w:rPr>
        <w:t xml:space="preserve"> e a condução da </w:t>
      </w:r>
      <w:r>
        <w:rPr>
          <w:rFonts w:ascii="Outfit" w:hAnsi="Outfit"/>
          <w:b/>
        </w:rPr>
        <w:t>Videoconferência de Fechamento</w:t>
      </w:r>
      <w:r>
        <w:rPr>
          <w:rFonts w:ascii="Outfit" w:hAnsi="Outfit"/>
        </w:rPr>
        <w:t>.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4.1 Roteiro do Vídeo Curto de Boas-Vindas (30-40 segundos)</w:t>
      </w:r>
    </w:p>
    <w:p>
      <w:pPr>
        <w:spacing w:before="0" w:after="120" w:line="276" w:lineRule="auto"/>
      </w:pPr>
      <w:r>
        <w:rPr>
          <w:rFonts w:ascii="Outfit" w:hAnsi="Outfit"/>
        </w:rPr>
        <w:t>Este vídeo deve ser gravado na orientação vertical (9:16), com boa iluminação e áudio limpo. O advogado deve vestir traje profissional adequado à solenidade jurídica. O vídeo é disparado de forma automatizada pelo sistema de mensageria assim que a IA transfere o lead para o Closer.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[CENA: Advogado sênior em seu escritório, com fundo profissional contendo livros ou decoração sóbria. O advogado olha diretamente para a câmera e fala de forma calma, pausada e firme.]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"Olá. Sou o Dr. [Nome do Advogado], sócio do escritório [Nome do Escritório]. 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Estou gravando esta breve mensagem para lhe dar as boas-vindas e informar que a minha equipe de triagem já me repassou os detalhes iniciais do seu caso. 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Nós identificamos os requisitos preliminares para verificar a viabilidade do seu benefício BPC/LOAS. 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A partir deste momento, um dos nossos advogados especialistas assumirá este canal de WhatsApp para lhe orientar sobre as opções jurídicas disponíveis e detalhar os próximos passos necessários. 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Agradeço a confiança depositada em nossa banca e coloco nossa estrutura à sua disposição para buscar a solução do seu direito. Até breve."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4.2 Modelo de Proposta Comercial Direta no WhatsApp</w:t>
      </w:r>
    </w:p>
    <w:p>
      <w:pPr>
        <w:spacing w:before="0" w:after="120" w:line="276" w:lineRule="auto"/>
      </w:pPr>
      <w:r>
        <w:rPr>
          <w:rFonts w:ascii="Outfit" w:hAnsi="Outfit"/>
        </w:rPr>
        <w:t>A proposta no WhatsApp deve ser extremamente legível, organizada por tópicos e sem adjetivos comerciais.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Prezado(a) Senhor(a) {{nome}},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Com base na triagem realizada e nos documentos apresentados, formalizamos nossa proposta de prestação de serviços jurídicos para a obtenção do benefício BPC/LOAS: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1. ESCOPO DO SERVIÇO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Análise documental e montagem do processo administrativo no INSS.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Formulação de requerimentos e recursos administrativos cabíveis.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Propositura e acompanhamento de ação judicial (caso ocorra o indeferimento administrativo).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2. CONDICIONAMENTO DOS HONORÁRIOS (Contrato de Êxito)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Cobrança realizada sob cláusula quota-litis (ad exitum).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Honorários fixados em [30%] sobre o montante bruto dos valores retroativos (atrasados) recebidos na concessão do benefício.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O Senhor(a) não realiza pagamentos iniciais para a propositura do pedido.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3. PRAZOS ESTIMADOS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• Protocolo inicial em até [3 dias úteis] após a entrega da documentação completa exigida.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Para prosseguir com a elaboração do contrato de honorários e representação legal, por favor, selecionar uma das opções abaixo: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[Assinar contrato digitalmente]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[Esclarecer dúvidas sobre a proposta]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[Agendar ligação com o Closer responsável]</w:t>
            </w:r>
          </w:p>
        </w:tc>
      </w:tr>
    </w:tbl>
    <w:p>
      <w:pPr>
        <w:spacing w:before="80" w:after="80"/>
      </w:pP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4.3 Roteiro e Checklist de Videoconferência de Fechamento (Closer Humano)</w:t>
      </w:r>
    </w:p>
    <w:p>
      <w:pPr>
        <w:spacing w:before="0" w:after="120" w:line="276" w:lineRule="auto"/>
      </w:pPr>
      <w:r>
        <w:rPr>
          <w:rFonts w:ascii="Outfit" w:hAnsi="Outfit"/>
        </w:rPr>
        <w:t>Para contratos de ticket médio elevado ou perfis que exigem maior segurança, o Closer deve realizar uma videoconferência de fechamento (Zoom ou Google Meet).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A[Abertura e Rapport Técnico] --&gt; B[Validação do Diagnóstico do Lead]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B --&gt; C[Apresentação da Solução e Etapas]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 --&gt; D[Esclarecimento de Honorários e Contrato]</w:t>
            </w:r>
          </w:p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 --&gt; E[Assinatura em Tempo Real]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Checklist Pré-Reunião (15 minutos antes)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[ ] Verificar se a câmera está posicionada na altura dos olhos e se a iluminação está frontal.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[ ] Testar microfone e garantir ambiente sem ruídos externos.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[ ] Abrir na tela o sistema do INSS (Meu INSS) ou o processo do cliente (se houver).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[ ] Deixar o link do contrato digital (ex: D4Sign, ZapSign) pronto na área de transferência.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Roteiro Estruturado de Videoconferência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Etapa 1: Abertura e Rapport Técnico (Duração: 03 minutos)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Ação:</w:t>
      </w:r>
      <w:r>
        <w:rPr>
          <w:rFonts w:ascii="Outfit" w:hAnsi="Outfit"/>
        </w:rPr>
        <w:t xml:space="preserve"> Cumprimentar o cliente formalmente, agradecer a presença e confirmar se ele está ouvindo e visualizando bem.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Script de Transição:</w:t>
      </w:r>
      <w:r>
        <w:rPr>
          <w:rFonts w:ascii="Outfit" w:hAnsi="Outfit"/>
        </w:rPr>
        <w:t xml:space="preserve"> </w:t>
      </w:r>
      <w:r>
        <w:rPr>
          <w:rFonts w:ascii="Outfit" w:hAnsi="Outfit"/>
          <w:i/>
        </w:rPr>
        <w:t>"Senhor(a) {{nome}}, nosso objetivo hoje é realizar a leitura técnica do seu cenário previdenciário e avaliar a viabilidade de concessão do seu benefício assistencial. Vou apresentar como funciona o nosso método de trabalho para assegurar a regularidade do seu direito."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Etapa 2: Diagnóstico e Validação de Fatos (Duração: 07 minutos)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Ação:</w:t>
      </w:r>
      <w:r>
        <w:rPr>
          <w:rFonts w:ascii="Outfit" w:hAnsi="Outfit"/>
        </w:rPr>
        <w:t xml:space="preserve"> Confirmar os dados que o SDR de IA coletou. Deixar o cliente falar brevemente sobre a patologia ou a situação de vulnerabilidade, anotando os pontos críticos.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Foco:</w:t>
      </w:r>
      <w:r>
        <w:rPr>
          <w:rFonts w:ascii="Outfit" w:hAnsi="Outfit"/>
        </w:rPr>
        <w:t xml:space="preserve"> Não interromper rudemente, mas manter o controle do tempo. Extrair detalhes técnicos relevantes para instrução inicial da petição.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Etapa 3: Apresentação da Solução (Duração: 05 minutos)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Ação:</w:t>
      </w:r>
      <w:r>
        <w:rPr>
          <w:rFonts w:ascii="Outfit" w:hAnsi="Outfit"/>
        </w:rPr>
        <w:t xml:space="preserve"> Compartilhar a tela para mostrar um organograma simples ou a tela de protocolo administrativo. Mostrar a seriedade do trabalho de bastidores.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Script de Transição:</w:t>
      </w:r>
      <w:r>
        <w:rPr>
          <w:rFonts w:ascii="Outfit" w:hAnsi="Outfit"/>
        </w:rPr>
        <w:t xml:space="preserve"> </w:t>
      </w:r>
      <w:r>
        <w:rPr>
          <w:rFonts w:ascii="Outfit" w:hAnsi="Outfit"/>
          <w:i/>
        </w:rPr>
        <w:t>"Para que o INSS aprove o seu benefício, nós não dependemos apenas de formulários básicos. Nós construímos uma tese técnica médica e social robusta. Veja na minha tela as etapas que nossa equipe executará:"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Fase 1: Auditoria Cadastral do CadÚnico.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Fase 2: Elaboração do Laudo de Aptidão Médica e Vulnerabilidade Social.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</w:rPr>
        <w:t>Fase 3: Protocolo Digital e Monitoramento de Prazos do INSS.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Etapa 4: Apresentação de Honorários e Fechamento (Duração: 05 minutos)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Ação:</w:t>
      </w:r>
      <w:r>
        <w:rPr>
          <w:rFonts w:ascii="Outfit" w:hAnsi="Outfit"/>
        </w:rPr>
        <w:t xml:space="preserve"> Explicar a proposta financeira e o contrato. A clareza absoluta reduz o atrito de decisão.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Script de Transição:</w:t>
      </w:r>
      <w:r>
        <w:rPr>
          <w:rFonts w:ascii="Outfit" w:hAnsi="Outfit"/>
        </w:rPr>
        <w:t xml:space="preserve"> </w:t>
      </w:r>
      <w:r>
        <w:rPr>
          <w:rFonts w:ascii="Outfit" w:hAnsi="Outfit"/>
          <w:i/>
        </w:rPr>
        <w:t>"Como nosso compromisso é técnico e ético, nós trabalhamos sob o regime de êxito para este procedimento. Isso significa que nossa remuneração contratual está associada ao sucesso da sua demanda jurídica. O percentual estabelecido de [30%] incidirá exclusivamente sobre o montante acumulado que o INSS lhe pagará retroativamente na concessão do benefício. O Senhor(a) não realiza qualquer desembolso financeiro prévio."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Etapa 5: Fechamento e Assinatura Digital (Duração: 05 minutos)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Ação:</w:t>
      </w:r>
      <w:r>
        <w:rPr>
          <w:rFonts w:ascii="Outfit" w:hAnsi="Outfit"/>
        </w:rPr>
        <w:t xml:space="preserve"> Enviar o link do contrato de honorários e procuração via WhatsApp/Chat da reunião e solicitar que o cliente assine enquanto a videoconferência está activa, auxiliando-o em eventuais dificuldades técnicas (ex: selfie ou token).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Script de Transição:</w:t>
      </w:r>
      <w:r>
        <w:rPr>
          <w:rFonts w:ascii="Outfit" w:hAnsi="Outfit"/>
        </w:rPr>
        <w:t xml:space="preserve"> </w:t>
      </w:r>
      <w:r>
        <w:rPr>
          <w:rFonts w:ascii="Outfit" w:hAnsi="Outfit"/>
          <w:i/>
        </w:rPr>
        <w:t>"Acabo de enviar no seu WhatsApp o link seguro para a assinatura digital do contrato e da procuração que nos autoriza a representá-lo junto ao INSS. Podemos realizar o preenchimento e a validação técnica dessas assinaturas agora mesmo para iniciarmos a preparação do seu processo de imediato."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4.4 O Onboarding de Alta Confiança: A Metodologia Showcase of Possibilities</w:t>
      </w:r>
    </w:p>
    <w:p>
      <w:pPr>
        <w:spacing w:before="0" w:after="120" w:line="276" w:lineRule="auto"/>
      </w:pPr>
      <w:r>
        <w:rPr>
          <w:rFonts w:ascii="Outfit" w:hAnsi="Outfit"/>
        </w:rPr>
        <w:t>O maior erro estratégico que uma banca de advocacia de volume pode cometer é silenciar ou ignorar o cliente nas primeiras 48 horas após a assinatura do contrato. Esse "vácuo de comunicação" gera extrema ansiedade e resulta em cobranças desnecessárias no WhatsApp da operação.</w:t>
      </w:r>
    </w:p>
    <w:p>
      <w:pPr>
        <w:spacing w:before="0" w:after="120" w:line="276" w:lineRule="auto"/>
      </w:pPr>
      <w:r>
        <w:rPr>
          <w:rFonts w:ascii="Outfit" w:hAnsi="Outfit"/>
        </w:rPr>
        <w:t xml:space="preserve">A Vértice recomenda a implementação da metodologia </w:t>
      </w:r>
      <w:r>
        <w:rPr>
          <w:rFonts w:ascii="Outfit" w:hAnsi="Outfit"/>
          <w:b/>
        </w:rPr>
        <w:t>Showcase of Possibilities</w:t>
      </w:r>
      <w:r>
        <w:rPr>
          <w:rFonts w:ascii="Outfit" w:hAnsi="Outfit"/>
        </w:rPr>
        <w:t>, estruturada em 3 atos sequenciais de onboarding: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Ato 1 — Hello World: Confirmação Calorosa (Até 2 horas pós-contrato)</w:t>
      </w:r>
    </w:p>
    <w:p>
      <w:pPr>
        <w:spacing w:before="0" w:after="120" w:line="276" w:lineRule="auto"/>
      </w:pPr>
      <w:r>
        <w:rPr>
          <w:rFonts w:ascii="Outfit" w:hAnsi="Outfit"/>
        </w:rPr>
        <w:t>Disparar uma mensagem de boas-vindas humana e estruturada pelo próprio advogado sênior do caso (ou pela IA simulando o advogado), confirmando a integridade do recebimento da documentação e sinalizando o início dos trabalhos de bastidores.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Modelo de Mensagem (Ato 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bottom w:val="none"/>
              <w:left w:val="single" w:sz="24" w:space="0" w:color="3B82F6"/>
              <w:right w:val="none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Outfit" w:hAnsi="Outfit"/>
                <w:i/>
              </w:rPr>
              <w:t>"Olá, Senhor(a) {{nome}}. Aqui é o Dr. [Nome], titular do escritório. Estou passando pessoalmente para confirmar que recebi toda a sua documentação de forma segura. Acabo de fazer uma primeira leitura e posso lhe garantir: nossa base técnica é sólida. Nos próximos dias vou desenhar as opções estratégicas do caso. Fique tranquilo, vou lhe manter atualizado a cada avanço importante - sem lhe encher de termos técnicos desnecessários. Se precisar de algo, este é o canal oficial de atendimento. Seja muito bem-vindo(a)."</w:t>
            </w:r>
          </w:p>
        </w:tc>
      </w:tr>
    </w:tbl>
    <w:p>
      <w:pPr>
        <w:spacing w:before="80" w:after="80"/>
      </w:pP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Ato 2 — As Três Rotas de Ação (Até 24 horas pós-contrato)</w:t>
      </w:r>
    </w:p>
    <w:p>
      <w:pPr>
        <w:spacing w:before="0" w:after="120" w:line="276" w:lineRule="auto"/>
      </w:pPr>
      <w:r>
        <w:rPr>
          <w:rFonts w:ascii="Outfit" w:hAnsi="Outfit"/>
        </w:rPr>
        <w:t>Apresentar de forma extremamente visual e acessível as 3 trajetórias que a ação jurídica/administrativa previdenciária pode tomar no INSS ou na Justiça, estabelecendo expectativas realistas e seguras desde o início.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Trilha de Possibilidades: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Rota A (Ideal):</w:t>
      </w:r>
      <w:r>
        <w:rPr>
          <w:rFonts w:ascii="Outfit" w:hAnsi="Outfit"/>
        </w:rPr>
        <w:t xml:space="preserve"> Concessão direta no INSS em curto prazo após análise da perícia administrativa.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Rota B (Realista):</w:t>
      </w:r>
      <w:r>
        <w:rPr>
          <w:rFonts w:ascii="Outfit" w:hAnsi="Outfit"/>
        </w:rPr>
        <w:t xml:space="preserve"> Recurso administrativo interno em virtude de prazos regulamentares estendidos do INSS.</w:t>
      </w:r>
    </w:p>
    <w:p>
      <w:pPr>
        <w:pStyle w:val="ListNumber"/>
        <w:spacing w:before="0" w:after="60" w:line="276" w:lineRule="auto"/>
      </w:pPr>
      <w:r>
        <w:rPr>
          <w:rFonts w:ascii="Outfit" w:hAnsi="Outfit"/>
          <w:b/>
        </w:rPr>
        <w:t>Rota C (Contingência):</w:t>
      </w:r>
      <w:r>
        <w:rPr>
          <w:rFonts w:ascii="Outfit" w:hAnsi="Outfit"/>
        </w:rPr>
        <w:t xml:space="preserve"> Ingresso judicial imediato com pedido liminar em caso de indeferimento indevido de perícia pelo INSS (resolução do direito com recebimento integral dos atrasados retroativos).</w:t>
      </w:r>
    </w:p>
    <w:p>
      <w:pPr>
        <w:pStyle w:val="Heading3"/>
        <w:keepNext/>
        <w:spacing w:before="200" w:after="80"/>
      </w:pPr>
      <w:r>
        <w:rPr>
          <w:rFonts w:ascii="Outfit" w:hAnsi="Outfit"/>
          <w:b/>
          <w:color w:val="475569"/>
          <w:sz w:val="22"/>
        </w:rPr>
        <w:t>Ato 3 — O Showcase de Bastidores (Mágica) (Até 48 horas pós-contrato)</w:t>
      </w:r>
    </w:p>
    <w:p>
      <w:pPr>
        <w:spacing w:before="0" w:after="120" w:line="276" w:lineRule="auto"/>
      </w:pPr>
      <w:r>
        <w:rPr>
          <w:rFonts w:ascii="Outfit" w:hAnsi="Outfit"/>
        </w:rPr>
        <w:t>Gera o efeito "Wow" de tangibilidade de serviço. O assessor ou a IA envia uma imagem timbrada (ou gravação de tela curta de 10 segundos) mostrando a tela de protocolo ou a indexação dos laudos do cliente no sistema oficial do INSS/Tribunal.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i/>
        </w:rPr>
        <w:t>Mensagem:</w:t>
      </w:r>
      <w:r>
        <w:rPr>
          <w:rFonts w:ascii="Outfit" w:hAnsi="Outfit"/>
        </w:rPr>
        <w:t xml:space="preserve"> </w:t>
      </w:r>
      <w:r>
        <w:rPr>
          <w:rFonts w:ascii="Outfit" w:hAnsi="Outfit"/>
          <w:i/>
        </w:rPr>
        <w:t>"Senhor(a) {{nome}}, veja na imagem abaixo o nosso sistema previdenciário já integrado e processando a montagem das laudas e exames do seu caso para envio oficial."</w:t>
      </w:r>
    </w:p>
    <w:p>
      <w:pPr>
        <w:pBdr>
          <w:bottom w:val="single" w:sz="6" w:space="1" w:color="CBD5E1"/>
        </w:pBdr>
        <w:spacing w:before="240" w:after="240"/>
      </w:pPr>
    </w:p>
    <w:p>
      <w:pPr>
        <w:pStyle w:val="Heading2"/>
        <w:keepNext/>
        <w:spacing w:before="280" w:after="120"/>
      </w:pPr>
      <w:r>
        <w:rPr>
          <w:rFonts w:ascii="Outfit" w:hAnsi="Outfit"/>
          <w:b/>
          <w:color w:val="1E293B"/>
          <w:sz w:val="30"/>
        </w:rPr>
        <w:t>MÓDULO 5: METRIQUE E ANALISE (KPIs DE DESEMPENHO)</w:t>
      </w:r>
    </w:p>
    <w:p>
      <w:pPr>
        <w:spacing w:before="0" w:after="120" w:line="276" w:lineRule="auto"/>
      </w:pPr>
      <w:r>
        <w:rPr>
          <w:rFonts w:ascii="Outfit" w:hAnsi="Outfit"/>
        </w:rPr>
        <w:t>Para mensurar o sucesso da implementação deste Protocolo Comercial Híbrido, o escritório deve acompanhar semanalmente as seguintes métricas fundamentais:</w:t>
      </w:r>
    </w:p>
    <w:p>
      <w:pPr>
        <w:spacing w:before="0" w:after="120" w:line="276" w:lineRule="auto"/>
      </w:pPr>
      <w:r>
        <w:rPr>
          <w:rFonts w:ascii="Outfit" w:hAnsi="Outfit"/>
        </w:rPr>
        <w:t>$$\text{Taxa de Qualificação (MQL)} = \left( \frac{\text{Leads Qualificados pela IA}}{\text{Total de Leads Recebidos}} \right) \times 100$$</w:t>
      </w:r>
    </w:p>
    <w:p>
      <w:pPr>
        <w:spacing w:before="0" w:after="120" w:line="276" w:lineRule="auto"/>
      </w:pPr>
      <w:r>
        <w:rPr>
          <w:rFonts w:ascii="Outfit" w:hAnsi="Outfit"/>
        </w:rPr>
        <w:t>$$\text{Taxa de Conversão Final} = \left( \frac{\text{Contratos Assinados}}{\text{Leads Qualificados pela IA}} \right) \times 100$$</w:t>
      </w:r>
    </w:p>
    <w:p>
      <w:pPr>
        <w:spacing w:before="0" w:after="120" w:line="276" w:lineRule="auto"/>
      </w:pPr>
      <w:r>
        <w:rPr>
          <w:rFonts w:ascii="Outfit" w:hAnsi="Outfit"/>
        </w:rPr>
        <w:t>$$\text{SLA de Hand-off} = \text{Tempo decorrido entre a qualificação da IA e o primeiro contato do Closer}$$</w:t>
      </w:r>
    </w:p>
    <w:p>
      <w:pPr>
        <w:pStyle w:val="Heading3"/>
        <w:keepNext/>
        <w:spacing w:before="240" w:after="80"/>
      </w:pPr>
      <w:r>
        <w:rPr>
          <w:rFonts w:ascii="Outfit" w:hAnsi="Outfit"/>
          <w:b/>
          <w:color w:val="475569"/>
          <w:sz w:val="24"/>
        </w:rPr>
        <w:t>Metas Operacionais de Referência (Benchmarks Vértice)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SLA da IA (Tempo de Resposta):</w:t>
      </w:r>
      <w:r>
        <w:rPr>
          <w:rFonts w:ascii="Outfit" w:hAnsi="Outfit"/>
        </w:rPr>
        <w:t xml:space="preserve"> &lt; 2 minutos.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Taxa de Qualificação (BPC/LOAS):</w:t>
      </w:r>
      <w:r>
        <w:rPr>
          <w:rFonts w:ascii="Outfit" w:hAnsi="Outfit"/>
        </w:rPr>
        <w:t xml:space="preserve"> 18% a 25% do volume bruto (leads de anúncios de tráfego pago).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SLA do Closer Humano:</w:t>
      </w:r>
      <w:r>
        <w:rPr>
          <w:rFonts w:ascii="Outfit" w:hAnsi="Outfit"/>
        </w:rPr>
        <w:t xml:space="preserve"> &lt; 15 minutos em horário de expediente comercial.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Conversão de MQL para Contrato Fechado:</w:t>
      </w:r>
      <w:r>
        <w:rPr>
          <w:rFonts w:ascii="Outfit" w:hAnsi="Outfit"/>
        </w:rPr>
        <w:t xml:space="preserve"> Mínimo de 30% sobre leads qualificados.</w:t>
      </w:r>
    </w:p>
    <w:p>
      <w:pPr>
        <w:pStyle w:val="ListBullet"/>
        <w:spacing w:before="0" w:after="60" w:line="276" w:lineRule="auto"/>
      </w:pPr>
      <w:r>
        <w:rPr>
          <w:rFonts w:ascii="Outfit" w:hAnsi="Outfit"/>
          <w:b/>
        </w:rPr>
        <w:t>Custo por Lead Qualificado (CPL Qualificado):</w:t>
      </w:r>
      <w:r>
        <w:rPr>
          <w:rFonts w:ascii="Outfit" w:hAnsi="Outfit"/>
        </w:rPr>
        <w:t xml:space="preserve"> Indicador-chave a ser calibrado com a equipe de tráfego pago.</w:t>
      </w:r>
    </w:p>
    <w:p>
      <w:pPr>
        <w:pBdr>
          <w:bottom w:val="single" w:sz="6" w:space="1" w:color="CBD5E1"/>
        </w:pBdr>
        <w:spacing w:before="240" w:after="240"/>
      </w:pPr>
    </w:p>
    <w:p>
      <w:pPr>
        <w:spacing w:before="0" w:after="120" w:line="276" w:lineRule="auto"/>
      </w:pPr>
      <w:r>
        <w:rPr>
          <w:rFonts w:ascii="Outfit" w:hAnsi="Outfit"/>
          <w:i/>
        </w:rPr>
        <w:t>Este documento é de propriedade intelectual da Vértice e seu uso é exclusivo para a organização adquirente, vedada a reprodução total ou parcial sem autorização expressa.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utfit" w:hAnsi="Outfit"/>
        <w:color w:val="94A3B8"/>
        <w:sz w:val="17"/>
      </w:rPr>
      <w:t>Vértice Estratégia | Playbook - Protocolo Comercial Hibrido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