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Lora" w:hAnsi="Lora" w:eastAsia="Noto Serif SC"/>
          <w:rFonts w:ascii="Lora" w:hAnsi="Lora"/>
          <w:b/>
          <w:i w:val="0"/>
          <w:color w:val="141413"/>
          <w:sz w:val="48"/>
        </w:rPr>
        <w:t>私募基金认申赎</w:t>
      </w:r>
    </w:p>
    <w:p>
      <w:pPr>
        <w:spacing w:before="0" w:after="80"/>
        <w:jc w:val="center"/>
      </w:pPr>
      <w:r>
        <w:rPr>
          <w:rFonts w:ascii="Lora" w:hAnsi="Lora" w:eastAsia="Noto Serif SC"/>
          <w:rFonts w:ascii="Lora" w:hAnsi="Lora"/>
          <w:b w:val="0"/>
          <w:i w:val="0"/>
          <w:color w:val="666666"/>
          <w:sz w:val="28"/>
        </w:rPr>
        <w:t>产品需求文档（PRD）v1.0</w:t>
      </w:r>
    </w:p>
    <w:p>
      <w:pPr>
        <w:spacing w:before="0" w:after="600"/>
        <w:jc w:val="center"/>
      </w:pPr>
      <w:r>
        <w:rPr>
          <w:rFonts w:ascii="Poppins" w:hAnsi="Poppins" w:eastAsia="Noto Sans SC"/>
          <w:rFonts w:ascii="Poppins" w:hAnsi="Poppins"/>
          <w:b w:val="0"/>
          <w:i/>
          <w:color w:val="888888"/>
          <w:sz w:val="20"/>
        </w:rPr>
        <w:t>H5 投资人端认购/赎回全流程 + Web 运营后台订单审核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产品名称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私募证券基金认申赎系统 v1.1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文档版本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V1.0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撰写日期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2026-04-18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产品线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财富管理 / 私募基金销售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目标平台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用户端：H5；运营端：Web 后台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right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666666"/>
                <w:sz w:val="18"/>
              </w:rPr>
              <w:t>状态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交互大图完成 → PRD 审阅</w:t>
            </w:r>
          </w:p>
        </w:tc>
      </w:tr>
    </w:tbl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1. 项目背景与目标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1.1 背景</w:t>
      </w:r>
    </w:p>
    <w:p>
      <w:pPr>
        <w:spacing w:before="8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财富管理 v1.0 已支持基金详情展示和合格投资者认证，但缺少认购、申购、赎回主链路。合格投资者无法在 H5 内完成基金买卖，需跳出 App 至线下签约，流程断裂严重。</w:t>
      </w:r>
    </w:p>
    <w:p>
      <w:pPr>
        <w:spacing w:before="8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本项目（v1.1）在合规框架下补齐认申赎全链路：H5 完成电子签约替代双录，冷静期、大额赎回规则前置披露，运营后台订单审核流程化。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1.2 核心目标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认购转化：合格投资者从基金详情到完成认购签约，全程 H5 内完成，不跳出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合规达标：电子签（三书）替代双录，冷静期 24h 强制披露，满足《私募基金监管暂行办法》要求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赎回自助：投资者可在开放日发起赎回，大额顺延规则前置知情，减少客诉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运营提效：认购/赎回订单统一在后台审核，大额订单支持双签流程，替代线下邮件审批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1.3 用户角色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417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端</w:t>
            </w:r>
          </w:p>
        </w:tc>
        <w:tc>
          <w:tcPr>
            <w:tcW w:type="dxa" w:w="34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描述</w:t>
            </w:r>
          </w:p>
        </w:tc>
        <w:tc>
          <w:tcPr>
            <w:tcW w:type="dxa" w:w="311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核心操作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合格投资者（QI）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H5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通过 QI 认证 + 风险测评的个人/机构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认购、赎回、查持仓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基金运营</w:t>
            </w:r>
          </w:p>
        </w:tc>
        <w:tc>
          <w:tcPr>
            <w:tcW w:type="dxa" w:w="141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Web 后台</w:t>
            </w:r>
          </w:p>
        </w:tc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基金管理人运营人员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审核认购/赎回订单、确认份额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合规风控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Web 后台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合规岗，负责大额订单双签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大额订单合规双签审批</w:t>
            </w:r>
          </w:p>
        </w:tc>
      </w:tr>
    </w:tbl>
    <w:p>
      <w:pPr>
        <w:spacing w:after="12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2. 场景地图</w:t>
      </w:r>
    </w:p>
    <w:p>
      <w:pPr>
        <w:spacing w:before="80" w:after="80"/>
        <w:jc w:val="left"/>
      </w:pPr>
      <w:r>
        <w:rPr>
          <w:rFonts w:ascii="Poppins" w:hAnsi="Poppins" w:eastAsia="Noto Sans SC"/>
          <w:rFonts w:ascii="Poppins" w:hAnsi="Poppins"/>
          <w:b w:val="0"/>
          <w:i/>
          <w:sz w:val="20"/>
        </w:rPr>
        <w:t>本方案拆为 2 个 View：H5 投资人端、Web 运营后台。第 3/4 章分别详述。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2.1 View 1 · H5 投资人端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113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68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850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A-1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基金详情 + 认购下单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认购模块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13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A-2</w:t>
            </w:r>
          </w:p>
        </w:tc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认购协议签署 + 冷静期提示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认购模块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B-1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持仓列表 + 赎回入口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持仓/赎回模块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13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B-2</w:t>
            </w:r>
          </w:p>
        </w:tc>
        <w:tc>
          <w:tcPr>
            <w:tcW w:type="dxa" w:w="368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赎回下单（含大额顺延提示）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持仓/赎回模块</w:t>
            </w:r>
          </w:p>
        </w:tc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2.2 View 2 · Web 运营后台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113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68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850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C-1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订单审核队列（认购 + 赎回）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订单中心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20"/>
      </w:pPr>
    </w:p>
    <w:p>
      <w:pPr>
        <w:spacing w:before="120" w:after="80"/>
        <w:jc w:val="left"/>
      </w:pPr>
      <w:r>
        <w:rPr>
          <w:rFonts w:ascii="Poppins" w:hAnsi="Poppins" w:eastAsia="Noto Sans SC"/>
          <w:rFonts w:ascii="Poppins" w:hAnsi="Poppins"/>
          <w:b w:val="0"/>
          <w:i/>
          <w:sz w:val="20"/>
        </w:rPr>
        <w:t>跨端主链路：基金详情页 → 认购协议签署页（签约）→ 持仓列表页（持仓）→ 赎回下单页（赎回申请）→ 订单审核队列（运营审核）</w:t>
      </w: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3. H5 投资人端详细需求（View 1）</w:t>
      </w:r>
    </w:p>
    <w:p>
      <w:pPr>
        <w:spacing w:before="40" w:after="160"/>
        <w:jc w:val="left"/>
      </w:pPr>
      <w:r>
        <w:rPr>
          <w:rFonts w:ascii="Poppins" w:hAnsi="Poppins" w:eastAsia="Noto Sans SC"/>
          <w:rFonts w:ascii="Poppins" w:hAnsi="Poppins"/>
          <w:b w:val="0"/>
          <w:i/>
          <w:sz w:val="20"/>
        </w:rPr>
        <w:t>左侧为交互大图截图，右侧为功能需求说明。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A-1 · 基金详情 + 认购下单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0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合格投资者校验（R1/R2）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进入认购流程前后端双重校验：QI 认证状态 + 投资者风险等级（C 级）≥ 基金风险等级（R 级）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校验通过：页面顶部展示绿色「合格投资者已认证 · 风险等级 C3 匹配 R3」Badge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校验失败：拦截进入认购，展示原因 + 引导「去认证」入口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基金信息展示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产品全称 + 风险等级标签（R1-R5 色阶）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单位净值（NAV）+ 成立以来收益率（IBM Plex Mono 等宽字体）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开放日说明：「每月最后一个工作日」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风险披露（R2）：强制展示，不可折叠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认购下单表单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认购金额输入框，实时格式化显示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最低认购额校验（R3）：&lt; 100 万元时输入框下方红色提示，「下一步」按钮置灰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认购费率展示：默认 1.00%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预计获得份额 = 认购金额 ÷ 当前 NAV（实时计算）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「下一步 · 签署协议」→ 认购协议签署页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A-2 · 认购协议签署 + 冷静期提示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419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4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三书签署（R5）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协议文本区：认购协议全文（可滚动，≥ 高）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三书勾选：「认购协议」「风险揭示书」「回访确认书」须全部勾选，任一未勾则「确认签署」置灰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3. 替代双录合规要求，电子签约需记录 IP + 时间戳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冷静期强制披露（R4）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签署前展示琥珀色警示卡：「签署后 24 小时内可无条件撤销，资金原路退回」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不可折叠、不可关闭，必须在页面可见区域内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认购成功页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订单号（格式：SUB-YYYYMMDD-XXXX）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冷静期截止时间（精确到分钟）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3. 撤销入口：「我的 → 订单」，冷静期截止后自动隐藏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4. 跨端：订单同步至生成「待审核」记录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B-1 · 持仓列表 + 赎回入口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399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39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持仓卡片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每支持仓基金独立卡片，展示：持有份额 / 当前 NAV / 持仓市值 / 浮动盈亏（金额 + 百分比）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数字列统一 IBM Plex Mono 等宽字体，正收益绿色 / 负收益红色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赎回按钮可见性（B1）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仅开放日（每月最后工作日）展示「申请赎回」蓝色按钮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非开放日：按钮替换为「下次开放日：YYYY-MM-DD」灰色文字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赎回须知弹出页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点击「申请赎回」先展示须知页，用户需点击「我已了解，继续赎回」才可进入赎回下单页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须知页内容：T+5 到账规则（B4）+ 大额顺延规则（B5）不可折叠展示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B-2 · 赎回下单（含大额顺延提示）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91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9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赎回份额输入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顶部展示：可赎回份额总数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快捷比例按钮：25% / 50% / 全部赎回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3. 自动计算预计赎回金额（份额 × 当日 NAV）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T+5 到账说明（B4）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预计到账日 = 申请日（开放日）+ 5 工作日（跳过节假日自动计算）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需实时展示具体日期，如「预计 2026-05-08 到账」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大额赎回顺延弹窗（B5）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触发条件：本次赎回份额 &gt; 基金当前总份额的 10%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弹窗展示：本次可赎回份额 + 超出份额 + 超出部分顺延至下一开放日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3. 弹窗内明确提示：顺延份额按下一开放日净值（非今日净值）结算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4. 用户须点击「知悉并确认」才可提交，点「取消」则返回修改份额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提交后状态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赎回申请不可撤销（不同于认购的冷静期）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跨端：赎回订单同步至生成「待风控审核」记录</w:t>
            </w:r>
          </w:p>
        </w:tc>
      </w:tr>
    </w:tbl>
    <w:p>
      <w:pPr>
        <w:spacing w:after="8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4. Web 运营后台详细需求（View 2）</w:t>
      </w:r>
    </w:p>
    <w:p>
      <w:pPr>
        <w:spacing w:before="40" w:after="160"/>
        <w:jc w:val="left"/>
      </w:pPr>
      <w:r>
        <w:rPr>
          <w:rFonts w:ascii="Poppins" w:hAnsi="Poppins" w:eastAsia="Noto Sans SC"/>
          <w:rFonts w:ascii="Poppins" w:hAnsi="Poppins"/>
          <w:b w:val="0"/>
          <w:i/>
          <w:sz w:val="20"/>
        </w:rPr>
        <w:t>左侧为交互大图截图，右侧为功能需求说明。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4819"/>
            <w:shd w:val="clear" w:color="auto" w:fill="F8FAFB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Poppins" w:hAnsi="Poppins" w:eastAsia="Noto Sans SC"/>
                <w:rFonts w:ascii="Poppins" w:hAnsi="Poppins"/>
                <w:b w:val="0"/>
                <w:i/>
                <w:color w:val="888888"/>
                <w:sz w:val="18"/>
              </w:rPr>
              <w:t>📱 C-1 · 订单审核队列（认购 + 赎回）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59804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980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top"/>
          </w:tcPr>
          <w:p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认购 / 赎回双 Tab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Tab 标题上方展示待审核数量 Badge（实时刷新）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两 Tab 共享筛选条件区（状态 / 基金 / 投资人 / 日期范围）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订单列表表格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列字段：订单号 / 投资人（脱敏姓名 + QI 标注）/ 基金名 / 金额/份额 / 状态 / 申请时间 / 操作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状态枚举：待审核 / 待双签 / 已通过 / 已驳回 / 已撤销（冷静期撤销）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3. 数字列（金额/份额）IBM Plex Mono 右对齐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常规审核操作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通过：一键通过，T+1 系统自动确认份额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驳回：须填写驳回原因（必填，≤ 200 字），资金原路退回 T+3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3. 查看：只读详情，不可操作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大额订单双签流程（B5）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1. 触发条件：单笔认购/赎回 ≥ 1000 万元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2. 运营专员操作后进入「待双签」状态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3. 合规风控在「待双签」队列执行二次签核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i w:val="0"/>
                <w:color w:val="333333"/>
                <w:sz w:val="18"/>
              </w:rPr>
              <w:t>4. 两签均通过后订单状态变为「已通过」</w:t>
            </w:r>
          </w:p>
        </w:tc>
      </w:tr>
    </w:tbl>
    <w:p>
      <w:pPr>
        <w:spacing w:after="8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5. 业务规则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5.1 合规规则（监管要求，不可破）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850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规则名</w:t>
            </w:r>
          </w:p>
        </w:tc>
        <w:tc>
          <w:tcPr>
            <w:tcW w:type="dxa" w:w="6803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规则内容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R1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合格投资者门槛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金融资产 ≥ 300 万元，或近 3 年年均收入 ≥ 50 万元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R2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风险匹配</w:t>
            </w:r>
          </w:p>
        </w:tc>
        <w:tc>
          <w:tcPr>
            <w:tcW w:type="dxa" w:w="680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投资者风险评级（C1-C5）≥ 基金风险等级（R1-R5），不匹配则拦截认购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R3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单笔起投额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单笔认购/申购金额 ≥ 100 万元（¥1,000,000），低于此值不可提交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R4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冷静期</w:t>
            </w:r>
          </w:p>
        </w:tc>
        <w:tc>
          <w:tcPr>
            <w:tcW w:type="dxa" w:w="680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合同签署后 24 小时内投资者可单方解除合同，资金原路退回，不收取任何费用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R5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双录替代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H5 电子签约需完成「认购协议 + 风险揭示书 + 回访确认书」三书签署，IP + 时间戳留存合规记录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5.2 业务规则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850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规则名</w:t>
            </w:r>
          </w:p>
        </w:tc>
        <w:tc>
          <w:tcPr>
            <w:tcW w:type="dxa" w:w="6803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规则内容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B1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开放日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每月最后一个工作日为申购/赎回开放日；非开放日申请一律不受理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B2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净值披露</w:t>
            </w:r>
          </w:p>
        </w:tc>
        <w:tc>
          <w:tcPr>
            <w:tcW w:type="dxa" w:w="680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每个开放日 17:00 前发布最新单位净值（NAV），投资者持仓市值据此实时更新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B3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申购确认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T+1 工作日（T = 开放日）系统自动确认申购份额并更新持仓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B4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赎回到账</w:t>
            </w:r>
          </w:p>
        </w:tc>
        <w:tc>
          <w:tcPr>
            <w:tcW w:type="dxa" w:w="680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T+5 工作日（T = 开放日，跳过节假日）资金到账投资者银行账户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B5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大额赎回顺延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单次赎回 &gt; 基金总份额 10% 的超出部分，顺延至下一开放日按当日净值结算</w:t>
            </w:r>
          </w:p>
        </w:tc>
      </w:tr>
      <w:tr>
        <w:tc>
          <w:tcPr>
            <w:tcW w:type="dxa" w:w="850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B6</w:t>
            </w:r>
          </w:p>
        </w:tc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大额订单双签</w:t>
            </w:r>
          </w:p>
        </w:tc>
        <w:tc>
          <w:tcPr>
            <w:tcW w:type="dxa" w:w="680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单笔认购/赎回 ≥ 1000 万元须运营专员 + 合规风控双签，任一方未签不生效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5.3 订单状态枚举</w:t>
      </w:r>
    </w:p>
    <w:p>
      <w:pPr>
        <w:spacing w:before="120" w:after="80"/>
        <w:jc w:val="left"/>
      </w:pPr>
      <w:r>
        <w:rPr>
          <w:rFonts w:ascii="Poppins" w:hAnsi="Poppins" w:eastAsia="Noto Sans SC"/>
          <w:rFonts w:ascii="Poppins" w:hAnsi="Poppins"/>
          <w:b/>
          <w:i w:val="0"/>
          <w:sz w:val="20"/>
        </w:rPr>
        <w:t>认购订单状态（6 个）：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待签约 — 下单完成，待用户完成电子签约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待审核 — 签约完成，待运营专员审核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待双签 — 大额订单（≥ 1000 万），待合规风控二次签核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募集中 — 审核通过，处于基金募集期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已成立 — 募集期结束，基金成立，份额确认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已撤销 — 冷静期内用户主动撤销（T+3 资金退回）/ 已驳回（填写原因）</w:t>
      </w:r>
    </w:p>
    <w:p>
      <w:pPr>
        <w:spacing w:before="120" w:after="80"/>
        <w:jc w:val="left"/>
      </w:pPr>
      <w:r>
        <w:rPr>
          <w:rFonts w:ascii="Poppins" w:hAnsi="Poppins" w:eastAsia="Noto Sans SC"/>
          <w:rFonts w:ascii="Poppins" w:hAnsi="Poppins"/>
          <w:b/>
          <w:i w:val="0"/>
          <w:sz w:val="20"/>
        </w:rPr>
        <w:t>赎回订单状态（5 个）：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已申请 — 用户提交赎回申请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待风控审核 — 系统自动流转，等待运营审核（大额进入待双签）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待结算 — 审核通过，等待 T+5 结算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部分顺延 — 大额赎回触发 B5，超出份额已顺延至下一开放日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已到账 — 资金已打入投资者银行账户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5.4 页面层级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113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5953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路由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L1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基金列表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/fund/list</w:t>
            </w:r>
          </w:p>
        </w:tc>
      </w:tr>
      <w:tr>
        <w:tc>
          <w:tcPr>
            <w:tcW w:type="dxa" w:w="113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L2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基金详情</w:t>
            </w:r>
          </w:p>
        </w:tc>
        <w:tc>
          <w:tcPr>
            <w:tcW w:type="dxa" w:w="595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/fund/{fund_id}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L3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认购下单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/fund/{fund_id}/subscribe</w:t>
            </w:r>
          </w:p>
        </w:tc>
      </w:tr>
      <w:tr>
        <w:tc>
          <w:tcPr>
            <w:tcW w:type="dxa" w:w="113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L3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协议签署</w:t>
            </w:r>
          </w:p>
        </w:tc>
        <w:tc>
          <w:tcPr>
            <w:tcW w:type="dxa" w:w="595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/fund/{fund_id}/subscribe/sign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L2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我的持仓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/portfolio</w:t>
            </w:r>
          </w:p>
        </w:tc>
      </w:tr>
      <w:tr>
        <w:tc>
          <w:tcPr>
            <w:tcW w:type="dxa" w:w="113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L3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赎回下单</w:t>
            </w:r>
          </w:p>
        </w:tc>
        <w:tc>
          <w:tcPr>
            <w:tcW w:type="dxa" w:w="5953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/portfolio/{holding_id}/redeem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后台 L1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订单审核队列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/admin/orders/review</w:t>
            </w:r>
          </w:p>
        </w:tc>
      </w:tr>
    </w:tbl>
    <w:p>
      <w:pPr>
        <w:spacing w:after="12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6. 订单状态机</w:t>
      </w:r>
    </w:p>
    <w:p>
      <w:pPr>
        <w:spacing w:before="40" w:after="160"/>
        <w:ind w:left="170"/>
      </w:pPr>
      <w:r>
        <w:rPr>
          <w:rFonts w:ascii="Poppins" w:hAnsi="Poppins" w:eastAsia="Noto Sans SC"/>
          <w:rFonts w:ascii="Poppins" w:hAnsi="Poppins"/>
          <w:b w:val="0"/>
          <w:i/>
          <w:color w:val="6F7A85"/>
          <w:sz w:val="20"/>
        </w:rPr>
        <w:t>订单从用户下单到资金到账，状态在投资人端与运营后台之间流转。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6.1 认购订单状态流转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当前状态</w:t>
            </w:r>
          </w:p>
        </w:tc>
        <w:tc>
          <w:tcPr>
            <w:tcW w:type="dxa" w:w="311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触发事件</w:t>
            </w:r>
          </w:p>
        </w:tc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下一状态</w:t>
            </w:r>
          </w:p>
        </w:tc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（起始）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用户提交认购下单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待签约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下单成功即创建订单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待签约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用户完成三书电子签署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待审核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签约时间戳记录为冷静期起点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待签约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用户取消 / 超时未签（24h）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已取消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订单关闭，不生成审核记录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待审核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金额 &lt; 1000 万 + 运营通过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募集中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T+1 系统确认份额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待审核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金额 ≥ 1000 万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待双签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大额流转合规双签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待双签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合规风控二次签核通过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募集中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T+1 确认份额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待审核 / 待双签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运营/合规驳回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已驳回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填写原因，资金 T+3 退回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待签约 / 募集中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冷静期内（≤ 24h）用户撤销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已撤销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资金 T+3 原路退回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募集中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募集期结束且成立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已成立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份额最终确认，持仓更新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募集中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募集失败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募集失败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全额资金退回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6.2 赎回订单状态流转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当前状态</w:t>
            </w:r>
          </w:p>
        </w:tc>
        <w:tc>
          <w:tcPr>
            <w:tcW w:type="dxa" w:w="311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触发事件</w:t>
            </w:r>
          </w:p>
        </w:tc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下一状态</w:t>
            </w:r>
          </w:p>
        </w:tc>
        <w:tc>
          <w:tcPr>
            <w:tcW w:type="dxa" w:w="2835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（起始）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用户提交赎回申请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已申请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开放日提交，锁定份额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已申请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份额 ≤ 总份额 10%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待风控审核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系统自动流转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已申请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份额 &gt; 总份额 10%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待风控审核 + 部分顺延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超出部分标记顺延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待风控审核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金额 &lt; 1000 万 + 运营通过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待结算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T+5 起算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待风控审核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金额 ≥ 1000 万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待双签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大额双签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待双签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合规风控通过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待结算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T+5 起算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待结算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T+5 工作日到期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已到账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资金打入绑定银行账户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部分顺延</w:t>
            </w:r>
          </w:p>
        </w:tc>
        <w:tc>
          <w:tcPr>
            <w:tcW w:type="dxa" w:w="311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下一开放日按新净值结算</w:t>
            </w:r>
          </w:p>
        </w:tc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已到账</w:t>
            </w:r>
          </w:p>
        </w:tc>
        <w:tc>
          <w:tcPr>
            <w:tcW w:type="dxa" w:w="2835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顺延份额按新开放日净值</w:t>
            </w:r>
          </w:p>
        </w:tc>
      </w:tr>
    </w:tbl>
    <w:p>
      <w:pPr>
        <w:spacing w:after="12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7. 非功能性需求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7.1 性能指标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396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H5 首屏加载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≤ 2s（4G 网络）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投资人看基金详情流失率敏感</w:t>
            </w:r>
          </w:p>
        </w:tc>
      </w:tr>
      <w:tr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交易提交响应</w:t>
            </w:r>
          </w:p>
        </w:tc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>
              <w:t>≤（后端处理完成）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认购/赎回提交需即时反馈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净值更新延迟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开放日 17:00 前必发布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合规要求，投资人持仓市值依赖此</w:t>
            </w:r>
          </w:p>
        </w:tc>
      </w:tr>
      <w:tr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订单同步延迟</w:t>
            </w:r>
          </w:p>
        </w:tc>
        <w:tc>
          <w:tcPr>
            <w:tcW w:type="dxa" w:w="3402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≤ 3s（H5→后台）</w:t>
            </w:r>
          </w:p>
        </w:tc>
        <w:tc>
          <w:tcPr>
            <w:tcW w:type="dxa" w:w="396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运营需实时看到新订单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并发支持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峰值 ≥ 500 QPS（开放日）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每月一次开放日存在集中交易峰值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7.2 可用性 &amp; 可靠性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65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系统可用性</w:t>
            </w:r>
          </w:p>
        </w:tc>
        <w:tc>
          <w:tcPr>
            <w:tcW w:type="dxa" w:w="765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核心交易链路 SLA ≥ 99.95%（全年允许停机 ≤ 4.38h）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数据一致性</w:t>
            </w:r>
          </w:p>
        </w:tc>
        <w:tc>
          <w:tcPr>
            <w:tcW w:type="dxa" w:w="765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订单状态最终一致性 ≤ 10s，资金流转强一致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灾备</w:t>
            </w:r>
          </w:p>
        </w:tc>
        <w:tc>
          <w:tcPr>
            <w:tcW w:type="dxa" w:w="765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关键数据异地双活，RPO ≤ 5min、RTO ≤ 30min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合规留存</w:t>
            </w:r>
          </w:p>
        </w:tc>
        <w:tc>
          <w:tcPr>
            <w:tcW w:type="dxa" w:w="765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电子签约记录 + 订单流水留存 ≥ 15 年（《证券法》要求）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7.3 兼容性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0"/>
        <w:gridCol w:w="6480"/>
      </w:tblGrid>
      <w:tr>
        <w:tc>
          <w:tcPr>
            <w:tcW w:type="dxa" w:w="1984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端</w:t>
            </w:r>
          </w:p>
        </w:tc>
        <w:tc>
          <w:tcPr>
            <w:tcW w:type="dxa" w:w="7937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支持范围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H5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iOS Safari 14+，Android Chrome 90+（覆盖 ≥ 95% 活跃用户）</w:t>
            </w:r>
          </w:p>
        </w:tc>
      </w:tr>
      <w:tr>
        <w:tc>
          <w:tcPr>
            <w:tcW w:type="dxa" w:w="1984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后台 Web</w:t>
            </w:r>
          </w:p>
        </w:tc>
        <w:tc>
          <w:tcPr>
            <w:tcW w:type="dxa" w:w="7937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Chrome 100+ / Edge 100+，最小分辨率 1440×900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PDF 阅读器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协议文档 PDF 需支持 iOS/Android 原生预览</w:t>
            </w:r>
          </w:p>
        </w:tc>
      </w:tr>
    </w:tbl>
    <w:p>
      <w:pPr>
        <w:spacing w:after="120"/>
      </w:pPr>
    </w:p>
    <w:p>
      <w:pPr>
        <w:pStyle w:val="Heading1"/>
        <w:spacing w:before="400" w:after="240"/>
        <w:pBdr>
          <w:bottom w:val="single" w:sz="12" w:space="4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141413"/>
          <w:sz w:val="36"/>
        </w:rPr>
        <w:t>8. 埋点与监控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8.1 埋点必要性判定</w:t>
      </w:r>
    </w:p>
    <w:p>
      <w:pPr>
        <w:spacing w:before="80" w:after="80"/>
        <w:jc w:val="left"/>
      </w:pPr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本项目为财富管理 v1.0 起新增的核心交易链路，涉及多步转化漏斗（详情 → 下单 → 签约 → 成立 → 持仓 → 赎回），埋点是业务方评估产品效果的必备手段，全量覆盖。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8.2 事件命名规范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格式：pf_{场景}_{动作}，全小写+下划线（pf = private fund）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前缀 pf_ 区分于财富管理其他模块（wm_ = 公募、ins_ = 保险）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H5 和 Web 后台同事件名，通过公共属性 platform 区分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结果类事件必带 result 属性（success / fail / cancel）</w:t>
      </w: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8.3 H5 投资人端埋点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事件展示名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事件名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触发时机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核心属性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基金详情曝光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t>基金详情页 PV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详情页渲染完成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 / entry_source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立即认购点击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pf_detail_subscribe_click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点击「立即认购」按钮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 / qi_matched（bool）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认购下单提交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pf_subscribe_submit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下单页点击「下一步」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 / amount / result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冷静期提示曝光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pf_cooling_notice_show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签约页冷静期卡片进入视口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协议签署完成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pf_sign_complete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三书签署 + 确认签署成功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t>fund_id / 订单号 / duration_sec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冷静期撤销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pf_cooling_cancel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冷静期内用户点击「撤销认购」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>
              <w:t>订单号 / time_left_sec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持仓页曝光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t>持仓列表 PV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我的持仓页渲染完成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fund_count / total_value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赎回按钮点击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pf_redeem_click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点击「申请赎回」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 / is_open_day（bool）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大额顺延弹窗曝光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pf_large_redeem_notice_show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大额顺延弹窗弹出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 / shares / overflow_ratio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赎回提交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pf_redeem_submit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确认提交赎回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 / shares / is_large（bool）/ result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8.4 Web 运营后台埋点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2268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事件展示名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事件名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触发时机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核心属性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审核队列曝光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pf_mgt_queue_view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进入订单审核队列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tab（subscribe/redeem）/ queue_size</w:t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订单通过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pf_mgt_order_approve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点击「通过」并成功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>
              <w:t>订单号 / amount / is_large / reviewer_id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订单驳回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pf_mgt_order_reject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点击「驳回」并填写原因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t>订单号 / reason_category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大额双签完成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pf_mgt_dual_sign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合规风控二次签核通过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>
              <w:t>订单号 / first_reviewer / second_reviewer</w:t>
            </w: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净值发布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pf_mgt_nav_publish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运营在开放日发布当日净值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fund_id / nav / publish_delay_min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  <w:ind w:left="170"/>
        <w:pBdr>
          <w:left w:val="single" w:sz="24" w:space="6" w:color="D97757"/>
        </w:pBdr>
      </w:pPr>
      <w:r>
        <w:rPr>
          <w:rFonts w:ascii="Lora" w:hAnsi="Lora" w:eastAsia="Noto Serif SC"/>
          <w:rFonts w:ascii="Lora" w:hAnsi="Lora"/>
          <w:b/>
          <w:i w:val="0"/>
          <w:color w:val="D97757"/>
          <w:sz w:val="26"/>
        </w:rPr>
        <w:t>8.5 转化漏斗 &amp; 报警</w:t>
      </w:r>
    </w:p>
    <w:p>
      <w:pPr>
        <w:spacing w:before="120" w:after="80"/>
        <w:jc w:val="left"/>
      </w:pPr>
      <w:r>
        <w:rPr>
          <w:rFonts w:ascii="Poppins" w:hAnsi="Poppins" w:eastAsia="Noto Sans SC"/>
          <w:rFonts w:ascii="Poppins" w:hAnsi="Poppins"/>
          <w:b/>
          <w:i w:val="0"/>
          <w:sz w:val="20"/>
        </w:rPr>
        <w:t>核心漏斗（按开放日周期统计）：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认购漏斗：基金详情曝光 → 点「立即认购」→ 提交认购 → 签约完成（埋点见 8.2 / 8.4 表）</w:t>
      </w:r>
    </w:p>
    <w:p>
      <w:pPr>
        <w:spacing w:before="0" w:after="40"/>
        <w:ind w:left="283"/>
      </w:pPr>
      <w:r>
        <w:rPr>
          <w:rFonts w:ascii="Poppins" w:hAnsi="Poppins" w:eastAsia="Noto Sans SC"/>
          <w:rFonts w:ascii="Poppins" w:hAnsi="Poppins"/>
          <w:b w:val="0"/>
          <w:i w:val="0"/>
          <w:color w:val="333333"/>
          <w:sz w:val="20"/>
        </w:rPr>
        <w:t>• 赎回漏斗：持仓列表曝光 → 点「赎回」→ 提交赎回 → 资金到账（埋点见 8.3 / 8.4 表）</w:t>
      </w:r>
    </w:p>
    <w:p>
      <w:pPr>
        <w:spacing w:before="160" w:after="80"/>
        <w:jc w:val="left"/>
      </w:pPr>
      <w:r>
        <w:rPr>
          <w:rFonts w:ascii="Poppins" w:hAnsi="Poppins" w:eastAsia="Noto Sans SC"/>
          <w:rFonts w:ascii="Poppins" w:hAnsi="Poppins"/>
          <w:b/>
          <w:i w:val="0"/>
          <w:sz w:val="20"/>
        </w:rPr>
        <w:t>报警规则：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监控项</w:t>
            </w:r>
          </w:p>
        </w:tc>
        <w:tc>
          <w:tcPr>
            <w:tcW w:type="dxa" w:w="2551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阈值</w:t>
            </w:r>
          </w:p>
        </w:tc>
        <w:tc>
          <w:tcPr>
            <w:tcW w:type="dxa" w:w="4819"/>
            <w:shd w:val="clear" w:color="auto" w:fill="141413"/>
          </w:tcPr>
          <w:p>
            <w:pPr>
              <w:spacing w:before="40" w:after="40"/>
              <w:jc w:val="center"/>
            </w:pPr>
            <w:r/>
            <w:r>
              <w:rPr>
                <w:rFonts w:ascii="Poppins" w:hAnsi="Poppins" w:eastAsia="Noto Sans SC"/>
                <w:rFonts w:ascii="Poppins" w:hAnsi="Poppins"/>
                <w:b/>
                <w:i w:val="0"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签约成功率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&lt; 85%（分钟粒度）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短信 + IM 报警（电子签服务可能故障）</w:t>
            </w:r>
          </w:p>
        </w:tc>
      </w:tr>
      <w:tr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大额订单审批延迟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单笔 &gt; 24h 未处理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邮件推送至合规总监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净值发布延迟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开放日 17:00 后仍未发布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电话 + 短信通知运营负责人</w:t>
            </w:r>
          </w:p>
        </w:tc>
      </w:tr>
      <w:tr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大额赎回触发率</w:t>
            </w:r>
          </w:p>
        </w:tc>
        <w:tc>
          <w:tcPr>
            <w:tcW w:type="dxa" w:w="2551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&gt; 20%（单日）</w:t>
            </w:r>
          </w:p>
        </w:tc>
        <w:tc>
          <w:tcPr>
            <w:tcW w:type="dxa" w:w="4819"/>
            <w:shd w:val="clear" w:color="auto" w:fill="F8FAFB"/>
          </w:tcPr>
          <w:p>
            <w:pPr>
              <w:spacing w:before="40" w:after="40"/>
              <w:jc w:val="left"/>
            </w:pPr>
            <w:r/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告警业务方（可能存在集中挤兑风险）</w:t>
            </w:r>
          </w:p>
        </w:tc>
      </w:tr>
    </w:tbl>
    <w:p>
      <w:pPr>
        <w:spacing w:after="120"/>
      </w:pPr>
    </w:p>
    <w:sectPr w:rsidR="00FC693F" w:rsidRPr="0006063C" w:rsidSect="00034616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