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80"/>
        <w:jc w:val="center"/>
      </w:pPr>
      <w:r>
        <w:rPr>
          <w:rFonts w:ascii="Arial" w:hAnsi="Arial" w:eastAsia="Arial"/>
          <w:rFonts w:ascii="Arial" w:hAnsi="Arial"/>
          <w:b/>
          <w:i w:val="0"/>
          <w:color w:val="1A1A2E"/>
          <w:sz w:val="48"/>
        </w:rPr>
        <w:t>私募基金认申赎</w:t>
      </w:r>
    </w:p>
    <w:p>
      <w:pPr>
        <w:spacing w:before="0" w:after="80"/>
        <w:jc w:val="center"/>
      </w:pPr>
      <w:r>
        <w:rPr>
          <w:rFonts w:ascii="Arial" w:hAnsi="Arial" w:eastAsia="Arial"/>
          <w:rFonts w:ascii="Arial" w:hAnsi="Arial"/>
          <w:b w:val="0"/>
          <w:i w:val="0"/>
          <w:color w:val="666666"/>
          <w:sz w:val="28"/>
        </w:rPr>
        <w:t>产品需求文档（PRD）v1.0</w:t>
      </w:r>
    </w:p>
    <w:p>
      <w:pPr>
        <w:spacing w:before="0" w:after="600"/>
        <w:jc w:val="center"/>
      </w:pPr>
      <w:r>
        <w:rPr>
          <w:rFonts w:ascii="Arial" w:hAnsi="Arial" w:eastAsia="Arial"/>
          <w:rFonts w:ascii="Arial" w:hAnsi="Arial"/>
          <w:b w:val="0"/>
          <w:i/>
          <w:color w:val="888888"/>
          <w:sz w:val="20"/>
        </w:rPr>
        <w:t>H5 投资人端认购/赎回全流程 + Web 运营后台订单审核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480"/>
        <w:gridCol w:w="6480"/>
      </w:tblGrid>
      <w:tr>
        <w:tc>
          <w:tcPr>
            <w:tcW w:type="dxa" w:w="2268"/>
          </w:tcPr>
          <w:p>
            <w:pPr>
              <w:spacing w:before="40" w:after="40"/>
              <w:jc w:val="right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666666"/>
                <w:sz w:val="18"/>
              </w:rPr>
              <w:t>产品名称</w:t>
            </w:r>
          </w:p>
        </w:tc>
        <w:tc>
          <w:tcPr>
            <w:tcW w:type="dxa" w:w="7937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私募证券基金认申赎系统 v1.1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right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666666"/>
                <w:sz w:val="18"/>
              </w:rPr>
              <w:t>文档版本</w:t>
            </w:r>
          </w:p>
        </w:tc>
        <w:tc>
          <w:tcPr>
            <w:tcW w:type="dxa" w:w="7937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V1.0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right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666666"/>
                <w:sz w:val="18"/>
              </w:rPr>
              <w:t>撰写日期</w:t>
            </w:r>
          </w:p>
        </w:tc>
        <w:tc>
          <w:tcPr>
            <w:tcW w:type="dxa" w:w="7937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2026-04-18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right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666666"/>
                <w:sz w:val="18"/>
              </w:rPr>
              <w:t>产品线</w:t>
            </w:r>
          </w:p>
        </w:tc>
        <w:tc>
          <w:tcPr>
            <w:tcW w:type="dxa" w:w="7937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财富管理 / 私募基金销售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right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666666"/>
                <w:sz w:val="18"/>
              </w:rPr>
              <w:t>目标平台</w:t>
            </w:r>
          </w:p>
        </w:tc>
        <w:tc>
          <w:tcPr>
            <w:tcW w:type="dxa" w:w="7937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用户端：H5；运营端：Web 后台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right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666666"/>
                <w:sz w:val="18"/>
              </w:rPr>
              <w:t>状态</w:t>
            </w:r>
          </w:p>
        </w:tc>
        <w:tc>
          <w:tcPr>
            <w:tcW w:type="dxa" w:w="7937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交互大图完成 → PRD 审阅</w:t>
            </w:r>
          </w:p>
        </w:tc>
      </w:tr>
    </w:tbl>
    <w:p>
      <w:pPr>
        <w:pStyle w:val="Heading1"/>
        <w:spacing w:before="320" w:after="120"/>
        <w:pBdr>
          <w:bottom w:val="single" w:sz="6" w:space="1" w:color="2E75B6"/>
        </w:pBdr>
      </w:pPr>
      <w:r>
        <w:rPr>
          <w:rFonts w:ascii="Arial" w:hAnsi="Arial" w:eastAsia="Arial"/>
          <w:rFonts w:ascii="Arial" w:hAnsi="Arial"/>
          <w:b/>
          <w:i w:val="0"/>
          <w:color w:val="1A1A2E"/>
          <w:sz w:val="32"/>
        </w:rPr>
        <w:t>1. 项目背景与目标</w:t>
      </w:r>
    </w:p>
    <w:p>
      <w:pPr>
        <w:pStyle w:val="Heading2"/>
        <w:spacing w:before="240" w:after="80"/>
      </w:pPr>
      <w:r>
        <w:rPr>
          <w:rFonts w:ascii="Arial" w:hAnsi="Arial" w:eastAsia="Arial"/>
          <w:rFonts w:ascii="Arial" w:hAnsi="Arial"/>
          <w:b/>
          <w:i w:val="0"/>
          <w:color w:val="2E75B6"/>
          <w:sz w:val="26"/>
        </w:rPr>
        <w:t>1.1 背景</w:t>
      </w:r>
    </w:p>
    <w:p>
      <w:pPr>
        <w:spacing w:before="80" w:after="80"/>
        <w:jc w:val="left"/>
      </w:pPr>
      <w:r>
        <w:rPr>
          <w:rFonts w:ascii="Arial" w:hAnsi="Arial" w:eastAsia="Arial"/>
          <w:rFonts w:ascii="Arial" w:hAnsi="Arial"/>
          <w:b w:val="0"/>
          <w:i w:val="0"/>
          <w:sz w:val="20"/>
        </w:rPr>
        <w:t>财富管理 v1.0 已支持基金详情展示和合格投资者认证，但缺少认购、申购、赎回主链路。合格投资者无法在 H5 内完成基金买卖，需跳出 App 至线下签约，流程断裂严重。</w:t>
      </w:r>
    </w:p>
    <w:p>
      <w:pPr>
        <w:spacing w:before="80" w:after="80"/>
        <w:jc w:val="left"/>
      </w:pPr>
      <w:r>
        <w:rPr>
          <w:rFonts w:ascii="Arial" w:hAnsi="Arial" w:eastAsia="Arial"/>
          <w:rFonts w:ascii="Arial" w:hAnsi="Arial"/>
          <w:b w:val="0"/>
          <w:i w:val="0"/>
          <w:sz w:val="20"/>
        </w:rPr>
        <w:t>本项目（v1.1）在合规框架下补齐认申赎全链路：H5 完成电子签约替代双录，冷静期、大额赎回规则前置披露，运营后台订单审核流程化。</w:t>
      </w:r>
    </w:p>
    <w:p>
      <w:pPr>
        <w:pStyle w:val="Heading2"/>
        <w:spacing w:before="240" w:after="80"/>
      </w:pPr>
      <w:r>
        <w:rPr>
          <w:rFonts w:ascii="Arial" w:hAnsi="Arial" w:eastAsia="Arial"/>
          <w:rFonts w:ascii="Arial" w:hAnsi="Arial"/>
          <w:b/>
          <w:i w:val="0"/>
          <w:color w:val="2E75B6"/>
          <w:sz w:val="26"/>
        </w:rPr>
        <w:t>1.2 核心目标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认购转化：合格投资者从基金详情到完成认购签约，全程 H5 内完成，不跳出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合规达标：电子签（三书）替代双录，冷静期 24h 强制披露，满足《私募基金监管暂行办法》要求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赎回自助：投资者可在开放日发起赎回，大额顺延规则前置知情，减少客诉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运营提效：认购/赎回订单统一在后台审核，大额订单支持双签流程，替代线下邮件审批</w:t>
      </w:r>
    </w:p>
    <w:p>
      <w:pPr>
        <w:pStyle w:val="Heading2"/>
        <w:spacing w:before="240" w:after="80"/>
      </w:pPr>
      <w:r>
        <w:rPr>
          <w:rFonts w:ascii="Arial" w:hAnsi="Arial" w:eastAsia="Arial"/>
          <w:rFonts w:ascii="Arial" w:hAnsi="Arial"/>
          <w:b/>
          <w:i w:val="0"/>
          <w:color w:val="2E75B6"/>
          <w:sz w:val="26"/>
        </w:rPr>
        <w:t>1.3 用户角色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0"/>
        <w:gridCol w:w="3240"/>
        <w:gridCol w:w="3240"/>
        <w:gridCol w:w="3240"/>
      </w:tblGrid>
      <w:tr>
        <w:tc>
          <w:tcPr>
            <w:tcW w:type="dxa" w:w="1984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角色</w:t>
            </w:r>
          </w:p>
        </w:tc>
        <w:tc>
          <w:tcPr>
            <w:tcW w:type="dxa" w:w="1417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端</w:t>
            </w:r>
          </w:p>
        </w:tc>
        <w:tc>
          <w:tcPr>
            <w:tcW w:type="dxa" w:w="3402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描述</w:t>
            </w:r>
          </w:p>
        </w:tc>
        <w:tc>
          <w:tcPr>
            <w:tcW w:type="dxa" w:w="3118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核心操作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合格投资者（QI）</w:t>
            </w:r>
          </w:p>
        </w:tc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H5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通过 QI 认证 + 风险测评的个人/机构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认购、赎回、查持仓</w:t>
            </w:r>
          </w:p>
        </w:tc>
      </w:tr>
      <w:tr>
        <w:tc>
          <w:tcPr>
            <w:tcW w:type="dxa" w:w="198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基金运营</w:t>
            </w:r>
          </w:p>
        </w:tc>
        <w:tc>
          <w:tcPr>
            <w:tcW w:type="dxa" w:w="1417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Web 后台</w:t>
            </w:r>
          </w:p>
        </w:tc>
        <w:tc>
          <w:tcPr>
            <w:tcW w:type="dxa" w:w="3402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基金管理人运营人员</w:t>
            </w:r>
          </w:p>
        </w:tc>
        <w:tc>
          <w:tcPr>
            <w:tcW w:type="dxa" w:w="311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审核认购/赎回订单、确认份额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合规风控</w:t>
            </w:r>
          </w:p>
        </w:tc>
        <w:tc>
          <w:tcPr>
            <w:tcW w:type="dxa" w:w="1417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Web 后台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合规岗，负责大额订单双签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大额订单合规双签审批</w:t>
            </w:r>
          </w:p>
        </w:tc>
      </w:tr>
    </w:tbl>
    <w:p>
      <w:pPr>
        <w:spacing w:after="120"/>
      </w:pPr>
    </w:p>
    <w:p>
      <w:pPr>
        <w:pStyle w:val="Heading1"/>
        <w:spacing w:before="320" w:after="120"/>
        <w:pBdr>
          <w:bottom w:val="single" w:sz="6" w:space="1" w:color="2E75B6"/>
        </w:pBdr>
      </w:pPr>
      <w:r>
        <w:rPr>
          <w:rFonts w:ascii="Arial" w:hAnsi="Arial" w:eastAsia="Arial"/>
          <w:rFonts w:ascii="Arial" w:hAnsi="Arial"/>
          <w:b/>
          <w:i w:val="0"/>
          <w:color w:val="1A1A2E"/>
          <w:sz w:val="32"/>
        </w:rPr>
        <w:t>2. 场景地图</w:t>
      </w:r>
    </w:p>
    <w:p>
      <w:pPr>
        <w:spacing w:before="80" w:after="80"/>
        <w:jc w:val="left"/>
      </w:pPr>
      <w:r>
        <w:rPr>
          <w:rFonts w:ascii="Arial" w:hAnsi="Arial" w:eastAsia="Arial"/>
          <w:rFonts w:ascii="Arial" w:hAnsi="Arial"/>
          <w:b w:val="0"/>
          <w:i/>
          <w:sz w:val="20"/>
        </w:rPr>
        <w:t>本方案拆为 2 个 View：H5 投资人端、Web 运营后台。第 3/4 章分别详述。</w:t>
      </w:r>
    </w:p>
    <w:p>
      <w:pPr>
        <w:pStyle w:val="Heading2"/>
        <w:spacing w:before="240" w:after="80"/>
      </w:pPr>
      <w:r>
        <w:rPr>
          <w:rFonts w:ascii="Arial" w:hAnsi="Arial" w:eastAsia="Arial"/>
          <w:rFonts w:ascii="Arial" w:hAnsi="Arial"/>
          <w:b/>
          <w:i w:val="0"/>
          <w:color w:val="2E75B6"/>
          <w:sz w:val="26"/>
        </w:rPr>
        <w:t>2.1 View 1 · H5 投资人端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0"/>
        <w:gridCol w:w="3240"/>
        <w:gridCol w:w="3240"/>
        <w:gridCol w:w="3240"/>
      </w:tblGrid>
      <w:tr>
        <w:tc>
          <w:tcPr>
            <w:tcW w:type="dxa" w:w="1134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type="dxa" w:w="3685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场景</w:t>
            </w:r>
          </w:p>
        </w:tc>
        <w:tc>
          <w:tcPr>
            <w:tcW w:type="dxa" w:w="2551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模块</w:t>
            </w:r>
          </w:p>
        </w:tc>
        <w:tc>
          <w:tcPr>
            <w:tcW w:type="dxa" w:w="850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P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A-1</w:t>
            </w:r>
          </w:p>
        </w:tc>
        <w:tc>
          <w:tcPr>
            <w:tcW w:type="dxa" w:w="368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基金详情 + 认购下单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认购模块</w:t>
            </w:r>
          </w:p>
        </w:tc>
        <w:tc>
          <w:tcPr>
            <w:tcW w:type="dxa" w:w="850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P0</w:t>
            </w:r>
          </w:p>
        </w:tc>
      </w:tr>
      <w:tr>
        <w:tc>
          <w:tcPr>
            <w:tcW w:type="dxa" w:w="113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A-2</w:t>
            </w:r>
          </w:p>
        </w:tc>
        <w:tc>
          <w:tcPr>
            <w:tcW w:type="dxa" w:w="3685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认购协议签署 + 冷静期提示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认购模块</w:t>
            </w:r>
          </w:p>
        </w:tc>
        <w:tc>
          <w:tcPr>
            <w:tcW w:type="dxa" w:w="850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P0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B-1</w:t>
            </w:r>
          </w:p>
        </w:tc>
        <w:tc>
          <w:tcPr>
            <w:tcW w:type="dxa" w:w="368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持仓列表 + 赎回入口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持仓/赎回模块</w:t>
            </w:r>
          </w:p>
        </w:tc>
        <w:tc>
          <w:tcPr>
            <w:tcW w:type="dxa" w:w="850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P0</w:t>
            </w:r>
          </w:p>
        </w:tc>
      </w:tr>
      <w:tr>
        <w:tc>
          <w:tcPr>
            <w:tcW w:type="dxa" w:w="113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B-2</w:t>
            </w:r>
          </w:p>
        </w:tc>
        <w:tc>
          <w:tcPr>
            <w:tcW w:type="dxa" w:w="3685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赎回下单（含大额顺延提示）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持仓/赎回模块</w:t>
            </w:r>
          </w:p>
        </w:tc>
        <w:tc>
          <w:tcPr>
            <w:tcW w:type="dxa" w:w="850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P0</w:t>
            </w:r>
          </w:p>
        </w:tc>
      </w:tr>
    </w:tbl>
    <w:p>
      <w:pPr>
        <w:spacing w:after="120"/>
      </w:pPr>
    </w:p>
    <w:p>
      <w:pPr>
        <w:pStyle w:val="Heading2"/>
        <w:spacing w:before="240" w:after="80"/>
      </w:pPr>
      <w:r>
        <w:rPr>
          <w:rFonts w:ascii="Arial" w:hAnsi="Arial" w:eastAsia="Arial"/>
          <w:rFonts w:ascii="Arial" w:hAnsi="Arial"/>
          <w:b/>
          <w:i w:val="0"/>
          <w:color w:val="2E75B6"/>
          <w:sz w:val="26"/>
        </w:rPr>
        <w:t>2.2 View 2 · Web 运营后台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0"/>
        <w:gridCol w:w="3240"/>
        <w:gridCol w:w="3240"/>
        <w:gridCol w:w="3240"/>
      </w:tblGrid>
      <w:tr>
        <w:tc>
          <w:tcPr>
            <w:tcW w:type="dxa" w:w="1134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type="dxa" w:w="3685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场景</w:t>
            </w:r>
          </w:p>
        </w:tc>
        <w:tc>
          <w:tcPr>
            <w:tcW w:type="dxa" w:w="2551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模块</w:t>
            </w:r>
          </w:p>
        </w:tc>
        <w:tc>
          <w:tcPr>
            <w:tcW w:type="dxa" w:w="850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P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C-1</w:t>
            </w:r>
          </w:p>
        </w:tc>
        <w:tc>
          <w:tcPr>
            <w:tcW w:type="dxa" w:w="368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订单审核队列（认购 + 赎回）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订单中心</w:t>
            </w:r>
          </w:p>
        </w:tc>
        <w:tc>
          <w:tcPr>
            <w:tcW w:type="dxa" w:w="850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P0</w:t>
            </w:r>
          </w:p>
        </w:tc>
      </w:tr>
    </w:tbl>
    <w:p>
      <w:pPr>
        <w:spacing w:after="120"/>
      </w:pPr>
    </w:p>
    <w:p>
      <w:pPr>
        <w:spacing w:before="120" w:after="80"/>
        <w:jc w:val="left"/>
      </w:pPr>
      <w:r>
        <w:rPr>
          <w:rFonts w:ascii="Arial" w:hAnsi="Arial" w:eastAsia="Arial"/>
          <w:rFonts w:ascii="Arial" w:hAnsi="Arial"/>
          <w:b w:val="0"/>
          <w:i/>
          <w:sz w:val="20"/>
        </w:rPr>
        <w:t>跨端主链路：A-1 → A-2（签约）→ B-1（持仓）→ B-2（赎回申请）→ C-1（运营审核）</w:t>
      </w:r>
    </w:p>
    <w:p>
      <w:pPr>
        <w:pStyle w:val="Heading1"/>
        <w:spacing w:before="320" w:after="120"/>
        <w:pBdr>
          <w:bottom w:val="single" w:sz="6" w:space="1" w:color="2E75B6"/>
        </w:pBdr>
      </w:pPr>
      <w:r>
        <w:rPr>
          <w:rFonts w:ascii="Arial" w:hAnsi="Arial" w:eastAsia="Arial"/>
          <w:rFonts w:ascii="Arial" w:hAnsi="Arial"/>
          <w:b/>
          <w:i w:val="0"/>
          <w:color w:val="1A1A2E"/>
          <w:sz w:val="32"/>
        </w:rPr>
        <w:t>3. H5 投资人端详细需求（View 1）</w:t>
      </w:r>
    </w:p>
    <w:p>
      <w:pPr>
        <w:spacing w:before="40" w:after="160"/>
        <w:jc w:val="left"/>
      </w:pPr>
      <w:r>
        <w:rPr>
          <w:rFonts w:ascii="Arial" w:hAnsi="Arial" w:eastAsia="Arial"/>
          <w:rFonts w:ascii="Arial" w:hAnsi="Arial"/>
          <w:b w:val="0"/>
          <w:i/>
          <w:sz w:val="20"/>
        </w:rPr>
        <w:t>左侧为交互大图截图，右侧为功能需求说明。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480"/>
        <w:gridCol w:w="6480"/>
      </w:tblGrid>
      <w:tr>
        <w:tc>
          <w:tcPr>
            <w:tcW w:type="dxa" w:w="4819"/>
            <w:shd w:val="clear" w:color="auto" w:fill="F8FAFB"/>
            <w:vAlign w:val="center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201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20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70"/>
            <w:vAlign w:val="top"/>
          </w:tcPr>
          <w:p>
            <w:pPr>
              <w:spacing w:before="60" w:after="20"/>
            </w:pPr>
            <w:r>
              <w:rPr>
                <w:rFonts w:ascii="Arial" w:hAnsi="Arial" w:eastAsia="Arial"/>
                <w:rFonts w:ascii="Arial" w:hAnsi="Arial"/>
                <w:b/>
                <w:i w:val="0"/>
                <w:color w:val="1A1A2E"/>
                <w:sz w:val="20"/>
              </w:rPr>
              <w:t>合格投资者校验（R1/R2）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进入认购流程前后端双重校验：QI 认证状态 + 投资者风险等级（C 级）≥ 基金风险等级（R 级）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校验通过：页面顶部展示绿色「合格投资者已认证 · 风险等级 C3 匹配 R3」Badge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校验失败：拦截进入认购，展示原因 + 引导「去认证」入口</w:t>
            </w:r>
          </w:p>
          <w:p>
            <w:pPr>
              <w:spacing w:before="60" w:after="20"/>
            </w:pPr>
            <w:r>
              <w:rPr>
                <w:rFonts w:ascii="Arial" w:hAnsi="Arial" w:eastAsia="Arial"/>
                <w:rFonts w:ascii="Arial" w:hAnsi="Arial"/>
                <w:b/>
                <w:i w:val="0"/>
                <w:color w:val="1A1A2E"/>
                <w:sz w:val="20"/>
              </w:rPr>
              <w:t>基金信息展示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产品全称 + 风险等级标签（R1-R5 色阶）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单位净值（NAV）+ 成立以来收益率（IBM Plex Mono 等宽字体）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开放日说明：「每月最后一个工作日」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风险披露（R2）：强制展示，不可折叠</w:t>
            </w:r>
          </w:p>
          <w:p>
            <w:pPr>
              <w:spacing w:before="60" w:after="20"/>
            </w:pPr>
            <w:r>
              <w:rPr>
                <w:rFonts w:ascii="Arial" w:hAnsi="Arial" w:eastAsia="Arial"/>
                <w:rFonts w:ascii="Arial" w:hAnsi="Arial"/>
                <w:b/>
                <w:i w:val="0"/>
                <w:color w:val="1A1A2E"/>
                <w:sz w:val="20"/>
              </w:rPr>
              <w:t>认购下单表单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认购金额输入框，实时格式化显示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最低认购额校验（R3）：&lt; 100万元时输入框下方红色提示，「下一步」按钮置灰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认购费率展示：默认 1.00%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预计获得份额 = 认购金额 ÷ 当前 NAV（实时计算）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「下一步 · 签署协议」→ A-2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480"/>
        <w:gridCol w:w="6480"/>
      </w:tblGrid>
      <w:tr>
        <w:tc>
          <w:tcPr>
            <w:tcW w:type="dxa" w:w="4819"/>
            <w:shd w:val="clear" w:color="auto" w:fill="F8FAFB"/>
            <w:vAlign w:val="center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242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24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70"/>
            <w:vAlign w:val="top"/>
          </w:tcPr>
          <w:p>
            <w:pPr>
              <w:spacing w:before="60" w:after="20"/>
            </w:pPr>
            <w:r>
              <w:rPr>
                <w:rFonts w:ascii="Arial" w:hAnsi="Arial" w:eastAsia="Arial"/>
                <w:rFonts w:ascii="Arial" w:hAnsi="Arial"/>
                <w:b/>
                <w:i w:val="0"/>
                <w:color w:val="1A1A2E"/>
                <w:sz w:val="20"/>
              </w:rPr>
              <w:t>三书签署（R5）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协议文本区：认购协议全文（可滚动，≥ 200px 高）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三书勾选：「认购协议」「风险揭示书」「回访确认书」须全部勾选，任一未勾则「确认签署」置灰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替代双录合规要求，电子签约需记录 IP + 时间戳</w:t>
            </w:r>
          </w:p>
          <w:p>
            <w:pPr>
              <w:spacing w:before="60" w:after="20"/>
            </w:pPr>
            <w:r>
              <w:rPr>
                <w:rFonts w:ascii="Arial" w:hAnsi="Arial" w:eastAsia="Arial"/>
                <w:rFonts w:ascii="Arial" w:hAnsi="Arial"/>
                <w:b/>
                <w:i w:val="0"/>
                <w:color w:val="1A1A2E"/>
                <w:sz w:val="20"/>
              </w:rPr>
              <w:t>冷静期强制披露（R4）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签署前展示琥珀色警示卡：「签署后 24 小时内可无条件撤销，资金原路退回」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不可折叠、不可关闭，必须在页面可见区域内</w:t>
            </w:r>
          </w:p>
          <w:p>
            <w:pPr>
              <w:spacing w:before="60" w:after="20"/>
            </w:pPr>
            <w:r>
              <w:rPr>
                <w:rFonts w:ascii="Arial" w:hAnsi="Arial" w:eastAsia="Arial"/>
                <w:rFonts w:ascii="Arial" w:hAnsi="Arial"/>
                <w:b/>
                <w:i w:val="0"/>
                <w:color w:val="1A1A2E"/>
                <w:sz w:val="20"/>
              </w:rPr>
              <w:t>认购成功页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订单号（格式：SUB-YYYYMMDD-XXXX）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冷静期截止时间（精确到分钟）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撤销入口：「我的 → 订单」，冷静期截止后自动隐藏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跨端：订单同步至 C-1 生成「待审核」记录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480"/>
        <w:gridCol w:w="6480"/>
      </w:tblGrid>
      <w:tr>
        <w:tc>
          <w:tcPr>
            <w:tcW w:type="dxa" w:w="4819"/>
            <w:shd w:val="clear" w:color="auto" w:fill="F8FAFB"/>
            <w:vAlign w:val="center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1718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71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70"/>
            <w:vAlign w:val="top"/>
          </w:tcPr>
          <w:p>
            <w:pPr>
              <w:spacing w:before="60" w:after="20"/>
            </w:pPr>
            <w:r>
              <w:rPr>
                <w:rFonts w:ascii="Arial" w:hAnsi="Arial" w:eastAsia="Arial"/>
                <w:rFonts w:ascii="Arial" w:hAnsi="Arial"/>
                <w:b/>
                <w:i w:val="0"/>
                <w:color w:val="1A1A2E"/>
                <w:sz w:val="20"/>
              </w:rPr>
              <w:t>持仓卡片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每支持仓基金独立卡片，展示：持有份额 / 当前 NAV / 持仓市值 / 浮动盈亏（金额 + 百分比）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数字列统一 IBM Plex Mono 等宽字体，正收益绿色 / 负收益红色</w:t>
            </w:r>
          </w:p>
          <w:p>
            <w:pPr>
              <w:spacing w:before="60" w:after="20"/>
            </w:pPr>
            <w:r>
              <w:rPr>
                <w:rFonts w:ascii="Arial" w:hAnsi="Arial" w:eastAsia="Arial"/>
                <w:rFonts w:ascii="Arial" w:hAnsi="Arial"/>
                <w:b/>
                <w:i w:val="0"/>
                <w:color w:val="1A1A2E"/>
                <w:sz w:val="20"/>
              </w:rPr>
              <w:t>赎回按钮可见性（B1）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仅开放日（每月最后工作日）展示「申请赎回」蓝色按钮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非开放日：按钮替换为「下次开放日：YYYY-MM-DD」灰色文字</w:t>
            </w:r>
          </w:p>
          <w:p>
            <w:pPr>
              <w:spacing w:before="60" w:after="20"/>
            </w:pPr>
            <w:r>
              <w:rPr>
                <w:rFonts w:ascii="Arial" w:hAnsi="Arial" w:eastAsia="Arial"/>
                <w:rFonts w:ascii="Arial" w:hAnsi="Arial"/>
                <w:b/>
                <w:i w:val="0"/>
                <w:color w:val="1A1A2E"/>
                <w:sz w:val="20"/>
              </w:rPr>
              <w:t>赎回须知弹出页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点击「申请赎回」先展示须知页，用户需点击「我已了解，继续赎回」才可进入 B-2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须知页内容：T+5 到账规则（B4）+ 大额顺延规则（B5）不可折叠展示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480"/>
        <w:gridCol w:w="6480"/>
      </w:tblGrid>
      <w:tr>
        <w:tc>
          <w:tcPr>
            <w:tcW w:type="dxa" w:w="4819"/>
            <w:shd w:val="clear" w:color="auto" w:fill="F8FAFB"/>
            <w:vAlign w:val="center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18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70"/>
            <w:vAlign w:val="top"/>
          </w:tcPr>
          <w:p>
            <w:pPr>
              <w:spacing w:before="60" w:after="20"/>
            </w:pPr>
            <w:r>
              <w:rPr>
                <w:rFonts w:ascii="Arial" w:hAnsi="Arial" w:eastAsia="Arial"/>
                <w:rFonts w:ascii="Arial" w:hAnsi="Arial"/>
                <w:b/>
                <w:i w:val="0"/>
                <w:color w:val="1A1A2E"/>
                <w:sz w:val="20"/>
              </w:rPr>
              <w:t>赎回份额输入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顶部展示：可赎回份额总数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快捷比例按钮：25% / 50% / 全部赎回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自动计算预计赎回金额（份额 × 当日 NAV）</w:t>
            </w:r>
          </w:p>
          <w:p>
            <w:pPr>
              <w:spacing w:before="60" w:after="20"/>
            </w:pPr>
            <w:r>
              <w:rPr>
                <w:rFonts w:ascii="Arial" w:hAnsi="Arial" w:eastAsia="Arial"/>
                <w:rFonts w:ascii="Arial" w:hAnsi="Arial"/>
                <w:b/>
                <w:i w:val="0"/>
                <w:color w:val="1A1A2E"/>
                <w:sz w:val="20"/>
              </w:rPr>
              <w:t>T+5 到账说明（B4）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预计到账日 = 申请日（开放日）+ 5 工作日（跳过节假日自动计算）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需实时展示具体日期，如「预计 2026-05-08 到账」</w:t>
            </w:r>
          </w:p>
          <w:p>
            <w:pPr>
              <w:spacing w:before="60" w:after="20"/>
            </w:pPr>
            <w:r>
              <w:rPr>
                <w:rFonts w:ascii="Arial" w:hAnsi="Arial" w:eastAsia="Arial"/>
                <w:rFonts w:ascii="Arial" w:hAnsi="Arial"/>
                <w:b/>
                <w:i w:val="0"/>
                <w:color w:val="1A1A2E"/>
                <w:sz w:val="20"/>
              </w:rPr>
              <w:t>大额赎回顺延弹窗（B5）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触发条件：本次赎回份额 &gt; 基金当前总份额的 10%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弹窗展示：本次可赎回份额 + 超出份额 + 超出部分顺延至下一开放日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弹窗内明确提示：顺延份额按下一开放日净值（非今日净值）结算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用户须点击「知悉并确认」才可提交，点「取消」则返回修改份额</w:t>
            </w:r>
          </w:p>
          <w:p>
            <w:pPr>
              <w:spacing w:before="60" w:after="20"/>
            </w:pPr>
            <w:r>
              <w:rPr>
                <w:rFonts w:ascii="Arial" w:hAnsi="Arial" w:eastAsia="Arial"/>
                <w:rFonts w:ascii="Arial" w:hAnsi="Arial"/>
                <w:b/>
                <w:i w:val="0"/>
                <w:color w:val="1A1A2E"/>
                <w:sz w:val="20"/>
              </w:rPr>
              <w:t>提交后状态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赎回申请不可撤销（不同于认购的冷静期）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跨端：赎回订单同步至 C-1 生成「待风控审核」记录</w:t>
            </w:r>
          </w:p>
        </w:tc>
      </w:tr>
    </w:tbl>
    <w:p>
      <w:pPr>
        <w:spacing w:after="80"/>
      </w:pPr>
    </w:p>
    <w:p>
      <w:pPr>
        <w:pStyle w:val="Heading1"/>
        <w:spacing w:before="320" w:after="120"/>
        <w:pBdr>
          <w:bottom w:val="single" w:sz="6" w:space="1" w:color="2E75B6"/>
        </w:pBdr>
      </w:pPr>
      <w:r>
        <w:rPr>
          <w:rFonts w:ascii="Arial" w:hAnsi="Arial" w:eastAsia="Arial"/>
          <w:rFonts w:ascii="Arial" w:hAnsi="Arial"/>
          <w:b/>
          <w:i w:val="0"/>
          <w:color w:val="1A1A2E"/>
          <w:sz w:val="32"/>
        </w:rPr>
        <w:t>4. Web 运营后台详细需求（View 2）</w:t>
      </w:r>
    </w:p>
    <w:p>
      <w:pPr>
        <w:spacing w:before="40" w:after="160"/>
        <w:jc w:val="left"/>
      </w:pPr>
      <w:r>
        <w:rPr>
          <w:rFonts w:ascii="Arial" w:hAnsi="Arial" w:eastAsia="Arial"/>
          <w:rFonts w:ascii="Arial" w:hAnsi="Arial"/>
          <w:b w:val="0"/>
          <w:i/>
          <w:sz w:val="20"/>
        </w:rPr>
        <w:t>左侧为交互大图截图，右侧为功能需求说明。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480"/>
        <w:gridCol w:w="6480"/>
      </w:tblGrid>
      <w:tr>
        <w:tc>
          <w:tcPr>
            <w:tcW w:type="dxa" w:w="4819"/>
            <w:shd w:val="clear" w:color="auto" w:fill="F8FAFB"/>
            <w:vAlign w:val="center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160112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6011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70"/>
            <w:vAlign w:val="top"/>
          </w:tcPr>
          <w:p>
            <w:pPr>
              <w:spacing w:before="60" w:after="20"/>
            </w:pPr>
            <w:r>
              <w:rPr>
                <w:rFonts w:ascii="Arial" w:hAnsi="Arial" w:eastAsia="Arial"/>
                <w:rFonts w:ascii="Arial" w:hAnsi="Arial"/>
                <w:b/>
                <w:i w:val="0"/>
                <w:color w:val="1A1A2E"/>
                <w:sz w:val="20"/>
              </w:rPr>
              <w:t>认购 / 赎回双 Tab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Tab 标题上方展示待审核数量 Badge（实时刷新）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两 Tab 共享筛选条件区（状态 / 基金 / 投资人 / 日期范围）</w:t>
            </w:r>
          </w:p>
          <w:p>
            <w:pPr>
              <w:spacing w:before="60" w:after="20"/>
            </w:pPr>
            <w:r>
              <w:rPr>
                <w:rFonts w:ascii="Arial" w:hAnsi="Arial" w:eastAsia="Arial"/>
                <w:rFonts w:ascii="Arial" w:hAnsi="Arial"/>
                <w:b/>
                <w:i w:val="0"/>
                <w:color w:val="1A1A2E"/>
                <w:sz w:val="20"/>
              </w:rPr>
              <w:t>订单列表表格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列字段：订单号 / 投资人（脱敏姓名 + QI 标注）/ 基金名 / 金额/份额 / 状态 / 申请时间 / 操作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状态枚举：待审核 / 待双签 / 已通过 / 已驳回 / 已撤销（冷静期撤销）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数字列（金额/份额）IBM Plex Mono 右对齐</w:t>
            </w:r>
          </w:p>
          <w:p>
            <w:pPr>
              <w:spacing w:before="60" w:after="20"/>
            </w:pPr>
            <w:r>
              <w:rPr>
                <w:rFonts w:ascii="Arial" w:hAnsi="Arial" w:eastAsia="Arial"/>
                <w:rFonts w:ascii="Arial" w:hAnsi="Arial"/>
                <w:b/>
                <w:i w:val="0"/>
                <w:color w:val="1A1A2E"/>
                <w:sz w:val="20"/>
              </w:rPr>
              <w:t>常规审核操作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通过：一键通过，T+1 系统自动确认份额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驳回：须填写驳回原因（必填，≤ 200 字），资金原路退回 T+3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查看：只读详情，不可操作</w:t>
            </w:r>
          </w:p>
          <w:p>
            <w:pPr>
              <w:spacing w:before="60" w:after="20"/>
            </w:pPr>
            <w:r>
              <w:rPr>
                <w:rFonts w:ascii="Arial" w:hAnsi="Arial" w:eastAsia="Arial"/>
                <w:rFonts w:ascii="Arial" w:hAnsi="Arial"/>
                <w:b/>
                <w:i w:val="0"/>
                <w:color w:val="1A1A2E"/>
                <w:sz w:val="20"/>
              </w:rPr>
              <w:t>大额订单双签流程（B5）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触发条件：单笔认购/赎回 ≥ 1000 万元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运营专员操作后进入「待双签」状态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合规风控在「待双签」队列执行二次签核</w:t>
            </w:r>
          </w:p>
          <w:p>
            <w:pPr>
              <w:spacing w:before="0" w:after="20"/>
              <w:ind w:left="170"/>
            </w:pPr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两签均通过后订单状态变为「已通过」</w:t>
            </w:r>
          </w:p>
        </w:tc>
      </w:tr>
    </w:tbl>
    <w:p>
      <w:pPr>
        <w:spacing w:after="80"/>
      </w:pPr>
    </w:p>
    <w:p>
      <w:pPr>
        <w:pStyle w:val="Heading1"/>
        <w:spacing w:before="320" w:after="120"/>
        <w:pBdr>
          <w:bottom w:val="single" w:sz="6" w:space="1" w:color="2E75B6"/>
        </w:pBdr>
      </w:pPr>
      <w:r>
        <w:rPr>
          <w:rFonts w:ascii="Arial" w:hAnsi="Arial" w:eastAsia="Arial"/>
          <w:rFonts w:ascii="Arial" w:hAnsi="Arial"/>
          <w:b/>
          <w:i w:val="0"/>
          <w:color w:val="1A1A2E"/>
          <w:sz w:val="32"/>
        </w:rPr>
        <w:t>5. 业务规则</w:t>
      </w:r>
    </w:p>
    <w:p>
      <w:pPr>
        <w:pStyle w:val="Heading2"/>
        <w:spacing w:before="240" w:after="80"/>
      </w:pPr>
      <w:r>
        <w:rPr>
          <w:rFonts w:ascii="Arial" w:hAnsi="Arial" w:eastAsia="Arial"/>
          <w:rFonts w:ascii="Arial" w:hAnsi="Arial"/>
          <w:b/>
          <w:i w:val="0"/>
          <w:color w:val="2E75B6"/>
          <w:sz w:val="26"/>
        </w:rPr>
        <w:t>5.1 合规规则（监管要求，不可破）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  <w:gridCol w:w="4320"/>
      </w:tblGrid>
      <w:tr>
        <w:tc>
          <w:tcPr>
            <w:tcW w:type="dxa" w:w="850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type="dxa" w:w="2268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规则名</w:t>
            </w:r>
          </w:p>
        </w:tc>
        <w:tc>
          <w:tcPr>
            <w:tcW w:type="dxa" w:w="6803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规则内容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R1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合格投资者门槛</w:t>
            </w:r>
          </w:p>
        </w:tc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金融资产 ≥ 300 万元，或近 3 年年均收入 ≥ 50 万元</w:t>
            </w:r>
          </w:p>
        </w:tc>
      </w:tr>
      <w:tr>
        <w:tc>
          <w:tcPr>
            <w:tcW w:type="dxa" w:w="850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R2</w:t>
            </w:r>
          </w:p>
        </w:tc>
        <w:tc>
          <w:tcPr>
            <w:tcW w:type="dxa" w:w="226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风险匹配</w:t>
            </w:r>
          </w:p>
        </w:tc>
        <w:tc>
          <w:tcPr>
            <w:tcW w:type="dxa" w:w="6803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投资者风险评级（C1-C5）≥ 基金风险等级（R1-R5），不匹配则拦截认购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R3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单笔起投额</w:t>
            </w:r>
          </w:p>
        </w:tc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单笔认购/申购金额 ≥ 100 万元（¥1,000,000），低于此值不可提交</w:t>
            </w:r>
          </w:p>
        </w:tc>
      </w:tr>
      <w:tr>
        <w:tc>
          <w:tcPr>
            <w:tcW w:type="dxa" w:w="850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R4</w:t>
            </w:r>
          </w:p>
        </w:tc>
        <w:tc>
          <w:tcPr>
            <w:tcW w:type="dxa" w:w="226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冷静期</w:t>
            </w:r>
          </w:p>
        </w:tc>
        <w:tc>
          <w:tcPr>
            <w:tcW w:type="dxa" w:w="6803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合同签署后 24 小时内投资者可单方解除合同，资金原路退回，不收取任何费用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R5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双录替代</w:t>
            </w:r>
          </w:p>
        </w:tc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H5 电子签约需完成「认购协议 + 风险揭示书 + 回访确认书」三书签署，IP + 时间戳留存合规记录</w:t>
            </w:r>
          </w:p>
        </w:tc>
      </w:tr>
    </w:tbl>
    <w:p>
      <w:pPr>
        <w:spacing w:after="120"/>
      </w:pPr>
    </w:p>
    <w:p>
      <w:pPr>
        <w:pStyle w:val="Heading2"/>
        <w:spacing w:before="240" w:after="80"/>
      </w:pPr>
      <w:r>
        <w:rPr>
          <w:rFonts w:ascii="Arial" w:hAnsi="Arial" w:eastAsia="Arial"/>
          <w:rFonts w:ascii="Arial" w:hAnsi="Arial"/>
          <w:b/>
          <w:i w:val="0"/>
          <w:color w:val="2E75B6"/>
          <w:sz w:val="26"/>
        </w:rPr>
        <w:t>5.2 业务规则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  <w:gridCol w:w="4320"/>
      </w:tblGrid>
      <w:tr>
        <w:tc>
          <w:tcPr>
            <w:tcW w:type="dxa" w:w="850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type="dxa" w:w="2268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规则名</w:t>
            </w:r>
          </w:p>
        </w:tc>
        <w:tc>
          <w:tcPr>
            <w:tcW w:type="dxa" w:w="6803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规则内容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B1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开放日</w:t>
            </w:r>
          </w:p>
        </w:tc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每月最后一个工作日为申购/赎回开放日；非开放日申请一律不受理</w:t>
            </w:r>
          </w:p>
        </w:tc>
      </w:tr>
      <w:tr>
        <w:tc>
          <w:tcPr>
            <w:tcW w:type="dxa" w:w="850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B2</w:t>
            </w:r>
          </w:p>
        </w:tc>
        <w:tc>
          <w:tcPr>
            <w:tcW w:type="dxa" w:w="226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净值披露</w:t>
            </w:r>
          </w:p>
        </w:tc>
        <w:tc>
          <w:tcPr>
            <w:tcW w:type="dxa" w:w="6803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每个开放日 17:00 前发布最新单位净值（NAV），投资者持仓市值据此实时更新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B3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申购确认</w:t>
            </w:r>
          </w:p>
        </w:tc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T+1 工作日（T = 开放日）系统自动确认申购份额并更新持仓</w:t>
            </w:r>
          </w:p>
        </w:tc>
      </w:tr>
      <w:tr>
        <w:tc>
          <w:tcPr>
            <w:tcW w:type="dxa" w:w="850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B4</w:t>
            </w:r>
          </w:p>
        </w:tc>
        <w:tc>
          <w:tcPr>
            <w:tcW w:type="dxa" w:w="226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赎回到账</w:t>
            </w:r>
          </w:p>
        </w:tc>
        <w:tc>
          <w:tcPr>
            <w:tcW w:type="dxa" w:w="6803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T+5 工作日（T = 开放日，跳过节假日）资金到账投资者银行账户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B5</w:t>
            </w:r>
          </w:p>
        </w:tc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大额赎回顺延</w:t>
            </w:r>
          </w:p>
        </w:tc>
        <w:tc>
          <w:tcPr>
            <w:tcW w:type="dxa" w:w="680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单次赎回 &gt; 基金总份额 10% 的超出部分，顺延至下一开放日按当日净值结算</w:t>
            </w:r>
          </w:p>
        </w:tc>
      </w:tr>
      <w:tr>
        <w:tc>
          <w:tcPr>
            <w:tcW w:type="dxa" w:w="850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B6</w:t>
            </w:r>
          </w:p>
        </w:tc>
        <w:tc>
          <w:tcPr>
            <w:tcW w:type="dxa" w:w="226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大额订单双签</w:t>
            </w:r>
          </w:p>
        </w:tc>
        <w:tc>
          <w:tcPr>
            <w:tcW w:type="dxa" w:w="6803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单笔认购/赎回 ≥ 1000 万元须运营专员 + 合规风控双签，任一方未签不生效</w:t>
            </w:r>
          </w:p>
        </w:tc>
      </w:tr>
    </w:tbl>
    <w:p>
      <w:pPr>
        <w:spacing w:after="120"/>
      </w:pPr>
    </w:p>
    <w:p>
      <w:pPr>
        <w:pStyle w:val="Heading2"/>
        <w:spacing w:before="240" w:after="80"/>
      </w:pPr>
      <w:r>
        <w:rPr>
          <w:rFonts w:ascii="Arial" w:hAnsi="Arial" w:eastAsia="Arial"/>
          <w:rFonts w:ascii="Arial" w:hAnsi="Arial"/>
          <w:b/>
          <w:i w:val="0"/>
          <w:color w:val="2E75B6"/>
          <w:sz w:val="26"/>
        </w:rPr>
        <w:t>5.3 订单状态枚举</w:t>
      </w:r>
    </w:p>
    <w:p>
      <w:pPr>
        <w:spacing w:before="120" w:after="80"/>
        <w:jc w:val="left"/>
      </w:pPr>
      <w:r>
        <w:rPr>
          <w:rFonts w:ascii="Arial" w:hAnsi="Arial" w:eastAsia="Arial"/>
          <w:rFonts w:ascii="Arial" w:hAnsi="Arial"/>
          <w:b/>
          <w:i w:val="0"/>
          <w:sz w:val="20"/>
        </w:rPr>
        <w:t>认购订单状态（6 个）：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待签约 — 下单完成，待用户完成电子签约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待审核 — 签约完成，待运营专员审核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待双签 — 大额订单（≥ 1000 万），待合规风控二次签核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募集中 — 审核通过，处于基金募集期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已成立 — 募集期结束，基金成立，份额确认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已撤销 — 冷静期内用户主动撤销（T+3 资金退回）/ 已驳回（填写原因）</w:t>
      </w:r>
    </w:p>
    <w:p>
      <w:pPr>
        <w:spacing w:before="120" w:after="80"/>
        <w:jc w:val="left"/>
      </w:pPr>
      <w:r>
        <w:rPr>
          <w:rFonts w:ascii="Arial" w:hAnsi="Arial" w:eastAsia="Arial"/>
          <w:rFonts w:ascii="Arial" w:hAnsi="Arial"/>
          <w:b/>
          <w:i w:val="0"/>
          <w:sz w:val="20"/>
        </w:rPr>
        <w:t>赎回订单状态（5 个）：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已申请 — 用户提交赎回申请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待风控审核 — 系统自动流转，等待运营审核（大额进入待双签）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待结算 — 审核通过，等待 T+5 结算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部分顺延 — 大额赎回触发 B5，超出份额已顺延至下一开放日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已到账 — 资金已打入投资者银行账户</w:t>
      </w:r>
    </w:p>
    <w:p>
      <w:pPr>
        <w:pStyle w:val="Heading2"/>
        <w:spacing w:before="240" w:after="80"/>
      </w:pPr>
      <w:r>
        <w:rPr>
          <w:rFonts w:ascii="Arial" w:hAnsi="Arial" w:eastAsia="Arial"/>
          <w:rFonts w:ascii="Arial" w:hAnsi="Arial"/>
          <w:b/>
          <w:i w:val="0"/>
          <w:color w:val="2E75B6"/>
          <w:sz w:val="26"/>
        </w:rPr>
        <w:t>5.4 页面层级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  <w:gridCol w:w="4320"/>
      </w:tblGrid>
      <w:tr>
        <w:tc>
          <w:tcPr>
            <w:tcW w:type="dxa" w:w="1134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层级</w:t>
            </w:r>
          </w:p>
        </w:tc>
        <w:tc>
          <w:tcPr>
            <w:tcW w:type="dxa" w:w="2835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页面</w:t>
            </w:r>
          </w:p>
        </w:tc>
        <w:tc>
          <w:tcPr>
            <w:tcW w:type="dxa" w:w="5953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路由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L1</w:t>
            </w:r>
          </w:p>
        </w:tc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基金列表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/fund/list</w:t>
            </w:r>
          </w:p>
        </w:tc>
      </w:tr>
      <w:tr>
        <w:tc>
          <w:tcPr>
            <w:tcW w:type="dxa" w:w="113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L2</w:t>
            </w:r>
          </w:p>
        </w:tc>
        <w:tc>
          <w:tcPr>
            <w:tcW w:type="dxa" w:w="2835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基金详情</w:t>
            </w:r>
          </w:p>
        </w:tc>
        <w:tc>
          <w:tcPr>
            <w:tcW w:type="dxa" w:w="5953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/fund/{fund_id}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L3</w:t>
            </w:r>
          </w:p>
        </w:tc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认购下单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/fund/{fund_id}/subscribe</w:t>
            </w:r>
          </w:p>
        </w:tc>
      </w:tr>
      <w:tr>
        <w:tc>
          <w:tcPr>
            <w:tcW w:type="dxa" w:w="113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L3</w:t>
            </w:r>
          </w:p>
        </w:tc>
        <w:tc>
          <w:tcPr>
            <w:tcW w:type="dxa" w:w="2835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协议签署</w:t>
            </w:r>
          </w:p>
        </w:tc>
        <w:tc>
          <w:tcPr>
            <w:tcW w:type="dxa" w:w="5953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/fund/{fund_id}/subscribe/sign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L2</w:t>
            </w:r>
          </w:p>
        </w:tc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我的持仓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/portfolio</w:t>
            </w:r>
          </w:p>
        </w:tc>
      </w:tr>
      <w:tr>
        <w:tc>
          <w:tcPr>
            <w:tcW w:type="dxa" w:w="113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L3</w:t>
            </w:r>
          </w:p>
        </w:tc>
        <w:tc>
          <w:tcPr>
            <w:tcW w:type="dxa" w:w="2835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赎回下单</w:t>
            </w:r>
          </w:p>
        </w:tc>
        <w:tc>
          <w:tcPr>
            <w:tcW w:type="dxa" w:w="5953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/portfolio/{holding_id}/redeem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后台L1</w:t>
            </w:r>
          </w:p>
        </w:tc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订单审核队列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/admin/orders/review</w:t>
            </w:r>
          </w:p>
        </w:tc>
      </w:tr>
    </w:tbl>
    <w:p>
      <w:pPr>
        <w:spacing w:after="120"/>
      </w:pPr>
    </w:p>
    <w:p>
      <w:pPr>
        <w:pStyle w:val="Heading1"/>
        <w:spacing w:before="320" w:after="120"/>
        <w:pBdr>
          <w:bottom w:val="single" w:sz="6" w:space="1" w:color="2E75B6"/>
        </w:pBdr>
      </w:pPr>
      <w:r>
        <w:rPr>
          <w:rFonts w:ascii="Arial" w:hAnsi="Arial" w:eastAsia="Arial"/>
          <w:rFonts w:ascii="Arial" w:hAnsi="Arial"/>
          <w:b/>
          <w:i w:val="0"/>
          <w:color w:val="1A1A2E"/>
          <w:sz w:val="32"/>
        </w:rPr>
        <w:t>6. 订单状态机</w:t>
      </w:r>
    </w:p>
    <w:p>
      <w:pPr>
        <w:pStyle w:val="Heading2"/>
        <w:spacing w:before="240" w:after="80"/>
      </w:pPr>
      <w:r>
        <w:rPr>
          <w:rFonts w:ascii="Arial" w:hAnsi="Arial" w:eastAsia="Arial"/>
          <w:rFonts w:ascii="Arial" w:hAnsi="Arial"/>
          <w:b/>
          <w:i w:val="0"/>
          <w:color w:val="2E75B6"/>
          <w:sz w:val="26"/>
        </w:rPr>
        <w:t>6.1 认购订单状态流转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0"/>
        <w:gridCol w:w="3240"/>
        <w:gridCol w:w="3240"/>
        <w:gridCol w:w="3240"/>
      </w:tblGrid>
      <w:tr>
        <w:tc>
          <w:tcPr>
            <w:tcW w:type="dxa" w:w="1984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当前状态</w:t>
            </w:r>
          </w:p>
        </w:tc>
        <w:tc>
          <w:tcPr>
            <w:tcW w:type="dxa" w:w="3118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触发事件</w:t>
            </w:r>
          </w:p>
        </w:tc>
        <w:tc>
          <w:tcPr>
            <w:tcW w:type="dxa" w:w="1984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下一状态</w:t>
            </w:r>
          </w:p>
        </w:tc>
        <w:tc>
          <w:tcPr>
            <w:tcW w:type="dxa" w:w="2835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（起始）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用户提交认购下单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待签约</w:t>
            </w:r>
          </w:p>
        </w:tc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下单成功即创建订单</w:t>
            </w:r>
          </w:p>
        </w:tc>
      </w:tr>
      <w:tr>
        <w:tc>
          <w:tcPr>
            <w:tcW w:type="dxa" w:w="198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待签约</w:t>
            </w:r>
          </w:p>
        </w:tc>
        <w:tc>
          <w:tcPr>
            <w:tcW w:type="dxa" w:w="311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用户完成三书电子签署</w:t>
            </w:r>
          </w:p>
        </w:tc>
        <w:tc>
          <w:tcPr>
            <w:tcW w:type="dxa" w:w="198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待审核</w:t>
            </w:r>
          </w:p>
        </w:tc>
        <w:tc>
          <w:tcPr>
            <w:tcW w:type="dxa" w:w="2835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签约时间戳记录为冷静期起点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待签约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用户取消 / 超时未签（24h）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已取消</w:t>
            </w:r>
          </w:p>
        </w:tc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订单关闭，不生成审核记录</w:t>
            </w:r>
          </w:p>
        </w:tc>
      </w:tr>
      <w:tr>
        <w:tc>
          <w:tcPr>
            <w:tcW w:type="dxa" w:w="198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待审核</w:t>
            </w:r>
          </w:p>
        </w:tc>
        <w:tc>
          <w:tcPr>
            <w:tcW w:type="dxa" w:w="311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金额 &lt; 1000 万 + 运营通过</w:t>
            </w:r>
          </w:p>
        </w:tc>
        <w:tc>
          <w:tcPr>
            <w:tcW w:type="dxa" w:w="198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募集中</w:t>
            </w:r>
          </w:p>
        </w:tc>
        <w:tc>
          <w:tcPr>
            <w:tcW w:type="dxa" w:w="2835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T+1 系统确认份额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待审核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金额 ≥ 1000 万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待双签</w:t>
            </w:r>
          </w:p>
        </w:tc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大额流转合规双签</w:t>
            </w:r>
          </w:p>
        </w:tc>
      </w:tr>
      <w:tr>
        <w:tc>
          <w:tcPr>
            <w:tcW w:type="dxa" w:w="198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待双签</w:t>
            </w:r>
          </w:p>
        </w:tc>
        <w:tc>
          <w:tcPr>
            <w:tcW w:type="dxa" w:w="311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合规风控二次签核通过</w:t>
            </w:r>
          </w:p>
        </w:tc>
        <w:tc>
          <w:tcPr>
            <w:tcW w:type="dxa" w:w="198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募集中</w:t>
            </w:r>
          </w:p>
        </w:tc>
        <w:tc>
          <w:tcPr>
            <w:tcW w:type="dxa" w:w="2835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T+1 确认份额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待审核 / 待双签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运营/合规驳回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已驳回</w:t>
            </w:r>
          </w:p>
        </w:tc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填写原因，资金 T+3 退回</w:t>
            </w:r>
          </w:p>
        </w:tc>
      </w:tr>
      <w:tr>
        <w:tc>
          <w:tcPr>
            <w:tcW w:type="dxa" w:w="198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待签约 / 募集中</w:t>
            </w:r>
          </w:p>
        </w:tc>
        <w:tc>
          <w:tcPr>
            <w:tcW w:type="dxa" w:w="311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冷静期内（≤ 24h）用户撤销</w:t>
            </w:r>
          </w:p>
        </w:tc>
        <w:tc>
          <w:tcPr>
            <w:tcW w:type="dxa" w:w="198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已撤销</w:t>
            </w:r>
          </w:p>
        </w:tc>
        <w:tc>
          <w:tcPr>
            <w:tcW w:type="dxa" w:w="2835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资金 T+3 原路退回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募集中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募集期结束且成立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已成立</w:t>
            </w:r>
          </w:p>
        </w:tc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份额最终确认，持仓更新</w:t>
            </w:r>
          </w:p>
        </w:tc>
      </w:tr>
      <w:tr>
        <w:tc>
          <w:tcPr>
            <w:tcW w:type="dxa" w:w="198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募集中</w:t>
            </w:r>
          </w:p>
        </w:tc>
        <w:tc>
          <w:tcPr>
            <w:tcW w:type="dxa" w:w="311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募集失败</w:t>
            </w:r>
          </w:p>
        </w:tc>
        <w:tc>
          <w:tcPr>
            <w:tcW w:type="dxa" w:w="198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募集失败</w:t>
            </w:r>
          </w:p>
        </w:tc>
        <w:tc>
          <w:tcPr>
            <w:tcW w:type="dxa" w:w="2835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全额资金退回</w:t>
            </w:r>
          </w:p>
        </w:tc>
      </w:tr>
    </w:tbl>
    <w:p>
      <w:pPr>
        <w:spacing w:after="120"/>
      </w:pPr>
    </w:p>
    <w:p>
      <w:pPr>
        <w:pStyle w:val="Heading2"/>
        <w:spacing w:before="240" w:after="80"/>
      </w:pPr>
      <w:r>
        <w:rPr>
          <w:rFonts w:ascii="Arial" w:hAnsi="Arial" w:eastAsia="Arial"/>
          <w:rFonts w:ascii="Arial" w:hAnsi="Arial"/>
          <w:b/>
          <w:i w:val="0"/>
          <w:color w:val="2E75B6"/>
          <w:sz w:val="26"/>
        </w:rPr>
        <w:t>6.2 赎回订单状态流转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0"/>
        <w:gridCol w:w="3240"/>
        <w:gridCol w:w="3240"/>
        <w:gridCol w:w="3240"/>
      </w:tblGrid>
      <w:tr>
        <w:tc>
          <w:tcPr>
            <w:tcW w:type="dxa" w:w="1984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当前状态</w:t>
            </w:r>
          </w:p>
        </w:tc>
        <w:tc>
          <w:tcPr>
            <w:tcW w:type="dxa" w:w="3118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触发事件</w:t>
            </w:r>
          </w:p>
        </w:tc>
        <w:tc>
          <w:tcPr>
            <w:tcW w:type="dxa" w:w="1984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下一状态</w:t>
            </w:r>
          </w:p>
        </w:tc>
        <w:tc>
          <w:tcPr>
            <w:tcW w:type="dxa" w:w="2835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（起始）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用户提交赎回申请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已申请</w:t>
            </w:r>
          </w:p>
        </w:tc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开放日提交，锁定份额</w:t>
            </w:r>
          </w:p>
        </w:tc>
      </w:tr>
      <w:tr>
        <w:tc>
          <w:tcPr>
            <w:tcW w:type="dxa" w:w="198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已申请</w:t>
            </w:r>
          </w:p>
        </w:tc>
        <w:tc>
          <w:tcPr>
            <w:tcW w:type="dxa" w:w="311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份额 ≤ 总份额 10%</w:t>
            </w:r>
          </w:p>
        </w:tc>
        <w:tc>
          <w:tcPr>
            <w:tcW w:type="dxa" w:w="198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待风控审核</w:t>
            </w:r>
          </w:p>
        </w:tc>
        <w:tc>
          <w:tcPr>
            <w:tcW w:type="dxa" w:w="2835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系统自动流转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已申请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份额 &gt; 总份额 10%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待风控审核 + 部分顺延</w:t>
            </w:r>
          </w:p>
        </w:tc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超出部分标记顺延</w:t>
            </w:r>
          </w:p>
        </w:tc>
      </w:tr>
      <w:tr>
        <w:tc>
          <w:tcPr>
            <w:tcW w:type="dxa" w:w="198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待风控审核</w:t>
            </w:r>
          </w:p>
        </w:tc>
        <w:tc>
          <w:tcPr>
            <w:tcW w:type="dxa" w:w="311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金额 &lt; 1000 万 + 运营通过</w:t>
            </w:r>
          </w:p>
        </w:tc>
        <w:tc>
          <w:tcPr>
            <w:tcW w:type="dxa" w:w="198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待结算</w:t>
            </w:r>
          </w:p>
        </w:tc>
        <w:tc>
          <w:tcPr>
            <w:tcW w:type="dxa" w:w="2835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T+5 起算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待风控审核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金额 ≥ 1000 万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待双签</w:t>
            </w:r>
          </w:p>
        </w:tc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大额双签</w:t>
            </w:r>
          </w:p>
        </w:tc>
      </w:tr>
      <w:tr>
        <w:tc>
          <w:tcPr>
            <w:tcW w:type="dxa" w:w="198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待双签</w:t>
            </w:r>
          </w:p>
        </w:tc>
        <w:tc>
          <w:tcPr>
            <w:tcW w:type="dxa" w:w="311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合规风控通过</w:t>
            </w:r>
          </w:p>
        </w:tc>
        <w:tc>
          <w:tcPr>
            <w:tcW w:type="dxa" w:w="198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待结算</w:t>
            </w:r>
          </w:p>
        </w:tc>
        <w:tc>
          <w:tcPr>
            <w:tcW w:type="dxa" w:w="2835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T+5 起算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待结算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T+5 工作日到期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已到账</w:t>
            </w:r>
          </w:p>
        </w:tc>
        <w:tc>
          <w:tcPr>
            <w:tcW w:type="dxa" w:w="283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资金打入绑定银行账户</w:t>
            </w:r>
          </w:p>
        </w:tc>
      </w:tr>
      <w:tr>
        <w:tc>
          <w:tcPr>
            <w:tcW w:type="dxa" w:w="198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部分顺延</w:t>
            </w:r>
          </w:p>
        </w:tc>
        <w:tc>
          <w:tcPr>
            <w:tcW w:type="dxa" w:w="311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下一开放日按新净值结算</w:t>
            </w:r>
          </w:p>
        </w:tc>
        <w:tc>
          <w:tcPr>
            <w:tcW w:type="dxa" w:w="198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已到账</w:t>
            </w:r>
          </w:p>
        </w:tc>
        <w:tc>
          <w:tcPr>
            <w:tcW w:type="dxa" w:w="2835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顺延份额按新开放日净值</w:t>
            </w:r>
          </w:p>
        </w:tc>
      </w:tr>
    </w:tbl>
    <w:p>
      <w:pPr>
        <w:spacing w:after="120"/>
      </w:pPr>
    </w:p>
    <w:p>
      <w:pPr>
        <w:pStyle w:val="Heading1"/>
        <w:spacing w:before="320" w:after="120"/>
        <w:pBdr>
          <w:bottom w:val="single" w:sz="6" w:space="1" w:color="2E75B6"/>
        </w:pBdr>
      </w:pPr>
      <w:r>
        <w:rPr>
          <w:rFonts w:ascii="Arial" w:hAnsi="Arial" w:eastAsia="Arial"/>
          <w:rFonts w:ascii="Arial" w:hAnsi="Arial"/>
          <w:b/>
          <w:i w:val="0"/>
          <w:color w:val="1A1A2E"/>
          <w:sz w:val="32"/>
        </w:rPr>
        <w:t>7. 非功能性需求</w:t>
      </w:r>
    </w:p>
    <w:p>
      <w:pPr>
        <w:pStyle w:val="Heading2"/>
        <w:spacing w:before="240" w:after="80"/>
      </w:pPr>
      <w:r>
        <w:rPr>
          <w:rFonts w:ascii="Arial" w:hAnsi="Arial" w:eastAsia="Arial"/>
          <w:rFonts w:ascii="Arial" w:hAnsi="Arial"/>
          <w:b/>
          <w:i w:val="0"/>
          <w:color w:val="2E75B6"/>
          <w:sz w:val="26"/>
        </w:rPr>
        <w:t>7.1 性能指标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  <w:gridCol w:w="4320"/>
      </w:tblGrid>
      <w:tr>
        <w:tc>
          <w:tcPr>
            <w:tcW w:type="dxa" w:w="2551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指标</w:t>
            </w:r>
          </w:p>
        </w:tc>
        <w:tc>
          <w:tcPr>
            <w:tcW w:type="dxa" w:w="3402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要求</w:t>
            </w:r>
          </w:p>
        </w:tc>
        <w:tc>
          <w:tcPr>
            <w:tcW w:type="dxa" w:w="3969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H5 首屏加载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≤ 2s（4G 网络）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投资人看基金详情流失率敏感</w:t>
            </w:r>
          </w:p>
        </w:tc>
      </w:tr>
      <w:tr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交易提交响应</w:t>
            </w:r>
          </w:p>
        </w:tc>
        <w:tc>
          <w:tcPr>
            <w:tcW w:type="dxa" w:w="3402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≤ 500ms（后端处理完成）</w:t>
            </w:r>
          </w:p>
        </w:tc>
        <w:tc>
          <w:tcPr>
            <w:tcW w:type="dxa" w:w="3969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认购/赎回提交需即时反馈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净值更新延迟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开放日 17:00 前必发布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合规要求，投资人持仓市值依赖此</w:t>
            </w:r>
          </w:p>
        </w:tc>
      </w:tr>
      <w:tr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订单同步延迟</w:t>
            </w:r>
          </w:p>
        </w:tc>
        <w:tc>
          <w:tcPr>
            <w:tcW w:type="dxa" w:w="3402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≤ 3s（H5→后台）</w:t>
            </w:r>
          </w:p>
        </w:tc>
        <w:tc>
          <w:tcPr>
            <w:tcW w:type="dxa" w:w="3969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运营需实时看到新订单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并发支持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峰值 ≥ 500 QPS（开放日）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每月一次开放日存在集中交易峰值</w:t>
            </w:r>
          </w:p>
        </w:tc>
      </w:tr>
    </w:tbl>
    <w:p>
      <w:pPr>
        <w:spacing w:after="120"/>
      </w:pPr>
    </w:p>
    <w:p>
      <w:pPr>
        <w:pStyle w:val="Heading2"/>
        <w:spacing w:before="240" w:after="80"/>
      </w:pPr>
      <w:r>
        <w:rPr>
          <w:rFonts w:ascii="Arial" w:hAnsi="Arial" w:eastAsia="Arial"/>
          <w:rFonts w:ascii="Arial" w:hAnsi="Arial"/>
          <w:b/>
          <w:i w:val="0"/>
          <w:color w:val="2E75B6"/>
          <w:sz w:val="26"/>
        </w:rPr>
        <w:t>7.2 可用性 &amp; 可靠性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480"/>
        <w:gridCol w:w="6480"/>
      </w:tblGrid>
      <w:tr>
        <w:tc>
          <w:tcPr>
            <w:tcW w:type="dxa" w:w="2268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维度</w:t>
            </w:r>
          </w:p>
        </w:tc>
        <w:tc>
          <w:tcPr>
            <w:tcW w:type="dxa" w:w="7654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系统可用性</w:t>
            </w:r>
          </w:p>
        </w:tc>
        <w:tc>
          <w:tcPr>
            <w:tcW w:type="dxa" w:w="765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核心交易链路 SLA ≥ 99.95%（全年允许停机 ≤ 4.38h）</w:t>
            </w:r>
          </w:p>
        </w:tc>
      </w:tr>
      <w:tr>
        <w:tc>
          <w:tcPr>
            <w:tcW w:type="dxa" w:w="226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数据一致性</w:t>
            </w:r>
          </w:p>
        </w:tc>
        <w:tc>
          <w:tcPr>
            <w:tcW w:type="dxa" w:w="765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订单状态最终一致性 ≤ 10s，资金流转强一致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灾备</w:t>
            </w:r>
          </w:p>
        </w:tc>
        <w:tc>
          <w:tcPr>
            <w:tcW w:type="dxa" w:w="765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关键数据异地双活，RPO ≤ 5min、RTO ≤ 30min</w:t>
            </w:r>
          </w:p>
        </w:tc>
      </w:tr>
      <w:tr>
        <w:tc>
          <w:tcPr>
            <w:tcW w:type="dxa" w:w="226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合规留存</w:t>
            </w:r>
          </w:p>
        </w:tc>
        <w:tc>
          <w:tcPr>
            <w:tcW w:type="dxa" w:w="765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电子签约记录 + 订单流水留存 ≥ 15 年（《证券法》要求）</w:t>
            </w:r>
          </w:p>
        </w:tc>
      </w:tr>
    </w:tbl>
    <w:p>
      <w:pPr>
        <w:spacing w:after="120"/>
      </w:pPr>
    </w:p>
    <w:p>
      <w:pPr>
        <w:pStyle w:val="Heading2"/>
        <w:spacing w:before="240" w:after="80"/>
      </w:pPr>
      <w:r>
        <w:rPr>
          <w:rFonts w:ascii="Arial" w:hAnsi="Arial" w:eastAsia="Arial"/>
          <w:rFonts w:ascii="Arial" w:hAnsi="Arial"/>
          <w:b/>
          <w:i w:val="0"/>
          <w:color w:val="2E75B6"/>
          <w:sz w:val="26"/>
        </w:rPr>
        <w:t>7.3 兼容性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480"/>
        <w:gridCol w:w="6480"/>
      </w:tblGrid>
      <w:tr>
        <w:tc>
          <w:tcPr>
            <w:tcW w:type="dxa" w:w="1984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端</w:t>
            </w:r>
          </w:p>
        </w:tc>
        <w:tc>
          <w:tcPr>
            <w:tcW w:type="dxa" w:w="7937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支持范围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H5</w:t>
            </w:r>
          </w:p>
        </w:tc>
        <w:tc>
          <w:tcPr>
            <w:tcW w:type="dxa" w:w="7937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iOS Safari 14+，Android Chrome 90+（覆盖 ≥ 95% 活跃用户）</w:t>
            </w:r>
          </w:p>
        </w:tc>
      </w:tr>
      <w:tr>
        <w:tc>
          <w:tcPr>
            <w:tcW w:type="dxa" w:w="1984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后台 Web</w:t>
            </w:r>
          </w:p>
        </w:tc>
        <w:tc>
          <w:tcPr>
            <w:tcW w:type="dxa" w:w="7937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Chrome 100+ / Edge 100+，最小分辨率 1440×900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PDF 阅读器</w:t>
            </w:r>
          </w:p>
        </w:tc>
        <w:tc>
          <w:tcPr>
            <w:tcW w:type="dxa" w:w="7937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协议文档 PDF 需支持 iOS/Android 原生预览</w:t>
            </w:r>
          </w:p>
        </w:tc>
      </w:tr>
    </w:tbl>
    <w:p>
      <w:pPr>
        <w:spacing w:after="120"/>
      </w:pPr>
    </w:p>
    <w:p>
      <w:pPr>
        <w:pStyle w:val="Heading1"/>
        <w:spacing w:before="320" w:after="120"/>
        <w:pBdr>
          <w:bottom w:val="single" w:sz="6" w:space="1" w:color="2E75B6"/>
        </w:pBdr>
      </w:pPr>
      <w:r>
        <w:rPr>
          <w:rFonts w:ascii="Arial" w:hAnsi="Arial" w:eastAsia="Arial"/>
          <w:rFonts w:ascii="Arial" w:hAnsi="Arial"/>
          <w:b/>
          <w:i w:val="0"/>
          <w:color w:val="1A1A2E"/>
          <w:sz w:val="32"/>
        </w:rPr>
        <w:t>8. 埋点与监控</w:t>
      </w:r>
    </w:p>
    <w:p>
      <w:pPr>
        <w:pStyle w:val="Heading2"/>
        <w:spacing w:before="240" w:after="80"/>
      </w:pPr>
      <w:r>
        <w:rPr>
          <w:rFonts w:ascii="Arial" w:hAnsi="Arial" w:eastAsia="Arial"/>
          <w:rFonts w:ascii="Arial" w:hAnsi="Arial"/>
          <w:b/>
          <w:i w:val="0"/>
          <w:color w:val="2E75B6"/>
          <w:sz w:val="26"/>
        </w:rPr>
        <w:t>8.1 埋点必要性判定</w:t>
      </w:r>
    </w:p>
    <w:p>
      <w:pPr>
        <w:spacing w:before="80" w:after="80"/>
        <w:jc w:val="left"/>
      </w:pPr>
      <w:r>
        <w:rPr>
          <w:rFonts w:ascii="Arial" w:hAnsi="Arial" w:eastAsia="Arial"/>
          <w:rFonts w:ascii="Arial" w:hAnsi="Arial"/>
          <w:b w:val="0"/>
          <w:i w:val="0"/>
          <w:sz w:val="20"/>
        </w:rPr>
        <w:t>本项目为财富管理 v1.0 起新增的核心交易链路，涉及多步转化漏斗（详情 → 下单 → 签约 → 成立 → 持仓 → 赎回），埋点是业务方评估产品效果的必备手段，全量覆盖。</w:t>
      </w:r>
    </w:p>
    <w:p>
      <w:pPr>
        <w:pStyle w:val="Heading2"/>
        <w:spacing w:before="240" w:after="80"/>
      </w:pPr>
      <w:r>
        <w:rPr>
          <w:rFonts w:ascii="Arial" w:hAnsi="Arial" w:eastAsia="Arial"/>
          <w:rFonts w:ascii="Arial" w:hAnsi="Arial"/>
          <w:b/>
          <w:i w:val="0"/>
          <w:color w:val="2E75B6"/>
          <w:sz w:val="26"/>
        </w:rPr>
        <w:t>8.2 事件命名规范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格式：pf_{场景}_{动作}，全小写+下划线（pf = private fund）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前缀 pf_ 区分于财富管理其他模块（wm_ = 公募、ins_ = 保险）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H5 和 Web 后台同事件名，通过公共属性 platform 区分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结果类事件必带 result 属性（success / fail / cancel）</w:t>
      </w:r>
    </w:p>
    <w:p>
      <w:pPr>
        <w:pStyle w:val="Heading2"/>
        <w:spacing w:before="240" w:after="80"/>
      </w:pPr>
      <w:r>
        <w:rPr>
          <w:rFonts w:ascii="Arial" w:hAnsi="Arial" w:eastAsia="Arial"/>
          <w:rFonts w:ascii="Arial" w:hAnsi="Arial"/>
          <w:b/>
          <w:i w:val="0"/>
          <w:color w:val="2E75B6"/>
          <w:sz w:val="26"/>
        </w:rPr>
        <w:t>8.3 H5 投资人端埋点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0"/>
        <w:gridCol w:w="3240"/>
        <w:gridCol w:w="3240"/>
        <w:gridCol w:w="3240"/>
      </w:tblGrid>
      <w:tr>
        <w:tc>
          <w:tcPr>
            <w:tcW w:type="dxa" w:w="2268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事件展示名</w:t>
            </w:r>
          </w:p>
        </w:tc>
        <w:tc>
          <w:tcPr>
            <w:tcW w:type="dxa" w:w="2551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事件名</w:t>
            </w:r>
          </w:p>
        </w:tc>
        <w:tc>
          <w:tcPr>
            <w:tcW w:type="dxa" w:w="2551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触发时机</w:t>
            </w:r>
          </w:p>
        </w:tc>
        <w:tc>
          <w:tcPr>
            <w:tcW w:type="dxa" w:w="2551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核心属性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基金详情曝光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pf_detail_view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详情页渲染完成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fund_id / entry_source</w:t>
            </w:r>
          </w:p>
        </w:tc>
      </w:tr>
      <w:tr>
        <w:tc>
          <w:tcPr>
            <w:tcW w:type="dxa" w:w="226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立即认购点击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pf_detail_subscribe_click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点击「立即认购」按钮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fund_id / qi_matched（bool）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认购下单提交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pf_subscribe_submit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下单页点击「下一步」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fund_id / amount / result</w:t>
            </w:r>
          </w:p>
        </w:tc>
      </w:tr>
      <w:tr>
        <w:tc>
          <w:tcPr>
            <w:tcW w:type="dxa" w:w="226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冷静期提示曝光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pf_cooling_notice_show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签约页冷静期卡片进入视口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fund_id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协议签署完成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pf_sign_complete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三书签署 + 确认签署成功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fund_id / order_id / duration_sec</w:t>
            </w:r>
          </w:p>
        </w:tc>
      </w:tr>
      <w:tr>
        <w:tc>
          <w:tcPr>
            <w:tcW w:type="dxa" w:w="226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冷静期撤销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pf_cooling_cancel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冷静期内用户点击「撤销认购」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order_id / time_left_sec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持仓页曝光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pf_portfolio_view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我的持仓页渲染完成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fund_count / total_value</w:t>
            </w:r>
          </w:p>
        </w:tc>
      </w:tr>
      <w:tr>
        <w:tc>
          <w:tcPr>
            <w:tcW w:type="dxa" w:w="226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赎回按钮点击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pf_redeem_click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点击「申请赎回」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fund_id / is_open_day（bool）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大额顺延弹窗曝光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pf_large_redeem_notice_show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大额顺延弹窗弹出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fund_id / shares / overflow_ratio</w:t>
            </w:r>
          </w:p>
        </w:tc>
      </w:tr>
      <w:tr>
        <w:tc>
          <w:tcPr>
            <w:tcW w:type="dxa" w:w="226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赎回提交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pf_redeem_submit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确认提交赎回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fund_id / shares / is_large（bool）/ result</w:t>
            </w:r>
          </w:p>
        </w:tc>
      </w:tr>
    </w:tbl>
    <w:p>
      <w:pPr>
        <w:spacing w:after="120"/>
      </w:pPr>
    </w:p>
    <w:p>
      <w:pPr>
        <w:pStyle w:val="Heading2"/>
        <w:spacing w:before="240" w:after="80"/>
      </w:pPr>
      <w:r>
        <w:rPr>
          <w:rFonts w:ascii="Arial" w:hAnsi="Arial" w:eastAsia="Arial"/>
          <w:rFonts w:ascii="Arial" w:hAnsi="Arial"/>
          <w:b/>
          <w:i w:val="0"/>
          <w:color w:val="2E75B6"/>
          <w:sz w:val="26"/>
        </w:rPr>
        <w:t>8.4 Web 运营后台埋点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0"/>
        <w:gridCol w:w="3240"/>
        <w:gridCol w:w="3240"/>
        <w:gridCol w:w="3240"/>
      </w:tblGrid>
      <w:tr>
        <w:tc>
          <w:tcPr>
            <w:tcW w:type="dxa" w:w="2268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事件展示名</w:t>
            </w:r>
          </w:p>
        </w:tc>
        <w:tc>
          <w:tcPr>
            <w:tcW w:type="dxa" w:w="2551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事件名</w:t>
            </w:r>
          </w:p>
        </w:tc>
        <w:tc>
          <w:tcPr>
            <w:tcW w:type="dxa" w:w="2551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触发时机</w:t>
            </w:r>
          </w:p>
        </w:tc>
        <w:tc>
          <w:tcPr>
            <w:tcW w:type="dxa" w:w="2551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核心属性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审核队列曝光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pf_mgt_queue_view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进入订单审核队列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tab（subscribe/redeem）/ queue_size</w:t>
            </w:r>
          </w:p>
        </w:tc>
      </w:tr>
      <w:tr>
        <w:tc>
          <w:tcPr>
            <w:tcW w:type="dxa" w:w="226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订单通过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pf_mgt_order_approve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点击「通过」并成功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order_id / amount / is_large / reviewer_id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订单驳回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pf_mgt_order_reject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点击「驳回」并填写原因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order_id / reason_category</w:t>
            </w:r>
          </w:p>
        </w:tc>
      </w:tr>
      <w:tr>
        <w:tc>
          <w:tcPr>
            <w:tcW w:type="dxa" w:w="2268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大额双签完成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pf_mgt_dual_sign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合规风控二次签核通过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order_id / first_reviewer / second_reviewer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净值发布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pf_mgt_nav_publish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运营在开放日发布当日净值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fund_id / nav / publish_delay_min</w:t>
            </w:r>
          </w:p>
        </w:tc>
      </w:tr>
    </w:tbl>
    <w:p>
      <w:pPr>
        <w:spacing w:after="120"/>
      </w:pPr>
    </w:p>
    <w:p>
      <w:pPr>
        <w:pStyle w:val="Heading2"/>
        <w:spacing w:before="240" w:after="80"/>
      </w:pPr>
      <w:r>
        <w:rPr>
          <w:rFonts w:ascii="Arial" w:hAnsi="Arial" w:eastAsia="Arial"/>
          <w:rFonts w:ascii="Arial" w:hAnsi="Arial"/>
          <w:b/>
          <w:i w:val="0"/>
          <w:color w:val="2E75B6"/>
          <w:sz w:val="26"/>
        </w:rPr>
        <w:t>8.5 转化漏斗 &amp; 报警</w:t>
      </w:r>
    </w:p>
    <w:p>
      <w:pPr>
        <w:spacing w:before="120" w:after="80"/>
        <w:jc w:val="left"/>
      </w:pPr>
      <w:r>
        <w:rPr>
          <w:rFonts w:ascii="Arial" w:hAnsi="Arial" w:eastAsia="Arial"/>
          <w:rFonts w:ascii="Arial" w:hAnsi="Arial"/>
          <w:b/>
          <w:i w:val="0"/>
          <w:sz w:val="20"/>
        </w:rPr>
        <w:t>核心漏斗（按开放日周期统计）：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认购漏斗：pf_detail_view → pf_detail_subscribe_click → pf_subscribe_submit → pf_sign_complete</w:t>
      </w:r>
    </w:p>
    <w:p>
      <w:pPr>
        <w:spacing w:before="0" w:after="40"/>
        <w:ind w:left="283"/>
      </w:pPr>
      <w:r>
        <w:rPr>
          <w:rFonts w:ascii="Arial" w:hAnsi="Arial" w:eastAsia="Arial"/>
          <w:rFonts w:ascii="Arial" w:hAnsi="Arial"/>
          <w:b w:val="0"/>
          <w:i w:val="0"/>
          <w:color w:val="333333"/>
          <w:sz w:val="20"/>
        </w:rPr>
        <w:t>• 赎回漏斗：pf_portfolio_view → pf_redeem_click → pf_redeem_submit → 赎回到账</w:t>
      </w:r>
    </w:p>
    <w:p>
      <w:pPr>
        <w:spacing w:before="160" w:after="80"/>
        <w:jc w:val="left"/>
      </w:pPr>
      <w:r>
        <w:rPr>
          <w:rFonts w:ascii="Arial" w:hAnsi="Arial" w:eastAsia="Arial"/>
          <w:rFonts w:ascii="Arial" w:hAnsi="Arial"/>
          <w:b/>
          <w:i w:val="0"/>
          <w:sz w:val="20"/>
        </w:rPr>
        <w:t>报警规则：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  <w:gridCol w:w="4320"/>
      </w:tblGrid>
      <w:tr>
        <w:tc>
          <w:tcPr>
            <w:tcW w:type="dxa" w:w="2551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监控项</w:t>
            </w:r>
          </w:p>
        </w:tc>
        <w:tc>
          <w:tcPr>
            <w:tcW w:type="dxa" w:w="2551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阈值</w:t>
            </w:r>
          </w:p>
        </w:tc>
        <w:tc>
          <w:tcPr>
            <w:tcW w:type="dxa" w:w="4819"/>
            <w:shd w:val="clear" w:color="auto" w:fill="2D81FF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eastAsia="Arial"/>
                <w:rFonts w:ascii="Arial" w:hAnsi="Arial"/>
                <w:b/>
                <w:i w:val="0"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签约成功率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&lt; 85%（分钟粒度）</w:t>
            </w:r>
          </w:p>
        </w:tc>
        <w:tc>
          <w:tcPr>
            <w:tcW w:type="dxa" w:w="481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短信 + 钉钉报警（电子签服务可能故障）</w:t>
            </w:r>
          </w:p>
        </w:tc>
      </w:tr>
      <w:tr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大额订单审批延迟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单笔 &gt; 24h 未处理</w:t>
            </w:r>
          </w:p>
        </w:tc>
        <w:tc>
          <w:tcPr>
            <w:tcW w:type="dxa" w:w="4819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邮件推送至合规总监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净值发布延迟</w:t>
            </w:r>
          </w:p>
        </w:tc>
        <w:tc>
          <w:tcPr>
            <w:tcW w:type="dxa" w:w="2551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开放日 17:00 后仍未发布</w:t>
            </w:r>
          </w:p>
        </w:tc>
        <w:tc>
          <w:tcPr>
            <w:tcW w:type="dxa" w:w="4819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电话 + 短信通知运营负责人</w:t>
            </w:r>
          </w:p>
        </w:tc>
      </w:tr>
      <w:tr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大额赎回触发率</w:t>
            </w:r>
          </w:p>
        </w:tc>
        <w:tc>
          <w:tcPr>
            <w:tcW w:type="dxa" w:w="2551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&gt; 20%（单日）</w:t>
            </w:r>
          </w:p>
        </w:tc>
        <w:tc>
          <w:tcPr>
            <w:tcW w:type="dxa" w:w="4819"/>
            <w:shd w:val="clear" w:color="auto" w:fill="F8FAFB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Arial"/>
                <w:rFonts w:ascii="Arial" w:hAnsi="Arial"/>
                <w:b w:val="0"/>
                <w:i w:val="0"/>
                <w:color w:val="333333"/>
                <w:sz w:val="18"/>
              </w:rPr>
              <w:t>告警业务方（可能存在集中挤兑风险）</w:t>
            </w:r>
          </w:p>
        </w:tc>
      </w:tr>
    </w:tbl>
    <w:p>
      <w:pPr>
        <w:spacing w:after="120"/>
      </w:pPr>
    </w:p>
    <w:sectPr w:rsidR="00FC693F" w:rsidRPr="0006063C" w:rsidSect="00034616">
      <w:pgSz w:w="15840" w:h="12240" w:orient="landscape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