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rFonts w:ascii="Times New Roman" w:hAnsi="Times New Roman" w:eastAsia="黑体"/>
          <w:b/>
          <w:i w:val="0"/>
          <w:color w:val="000000"/>
          <w:sz w:val="52"/>
        </w:rPr>
        <w:t>《林间回响》</w:t>
      </w:r>
    </w:p>
    <w:p>
      <w:pPr>
        <w:jc w:val="center"/>
      </w:pPr>
      <w:r>
        <w:rPr>
          <w:rFonts w:ascii="Times New Roman" w:hAnsi="Times New Roman" w:eastAsia="黑体"/>
          <w:b/>
          <w:i w:val="0"/>
          <w:color w:val="000000"/>
          <w:sz w:val="44"/>
        </w:rPr>
        <w:t>城市鸟类宜居度声学诊断平台</w:t>
      </w:r>
    </w:p>
    <w:p/>
    <w:p>
      <w:pPr>
        <w:jc w:val="center"/>
      </w:pPr>
      <w:r>
        <w:rPr>
          <w:rFonts w:ascii="Times New Roman" w:hAnsi="Times New Roman" w:eastAsia="黑体"/>
          <w:b w:val="0"/>
          <w:i w:val="0"/>
          <w:color w:val="000000"/>
          <w:sz w:val="36"/>
        </w:rPr>
        <w:t>技 术 设 计 说 明 书</w:t>
      </w:r>
    </w:p>
    <w:p/>
    <w:p/>
    <w:p/>
    <w:p/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版本：V1.0（2026-08）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面向：技术评审 / 竞赛论文技术章节 / 工程维护</w:t>
      </w:r>
    </w:p>
    <w:p>
      <w:r>
        <w:br w:type="page"/>
      </w:r>
    </w:p>
    <w:p>
      <w:pPr>
        <w:spacing w:before="360" w:after="200"/>
      </w:pPr>
      <w:r>
        <w:rPr>
          <w:rFonts w:ascii="Times New Roman" w:hAnsi="Times New Roman" w:eastAsia="黑体"/>
          <w:b/>
          <w:i w:val="0"/>
          <w:color w:val="000000"/>
          <w:sz w:val="32"/>
        </w:rPr>
        <w:t>目录</w:t>
      </w:r>
    </w:p>
    <w:p>
      <w:pPr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一、系统总体架构</w:t>
      </w:r>
    </w:p>
    <w:p>
      <w:pPr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二、技术栈</w:t>
      </w:r>
    </w:p>
    <w:p>
      <w:pPr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三、音频采集与预处理</w:t>
      </w:r>
    </w:p>
    <w:p>
      <w:pPr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四、鸟声识别算法</w:t>
      </w:r>
    </w:p>
    <w:p>
      <w:pPr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五、生态声学指数</w:t>
      </w:r>
    </w:p>
    <w:p>
      <w:pPr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六、人为噪声占比估计</w:t>
      </w:r>
    </w:p>
    <w:p>
      <w:pPr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七、宜居度耦合模型</w:t>
      </w:r>
    </w:p>
    <w:p>
      <w:pPr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八、时间热力图</w:t>
      </w:r>
    </w:p>
    <w:p>
      <w:pPr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九、公共地图系统（聚合 / 隐私 / 模糊）</w:t>
      </w:r>
    </w:p>
    <w:p>
      <w:pPr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十、数据看板与统计</w:t>
      </w:r>
    </w:p>
    <w:p>
      <w:pPr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十一、生态简报</w:t>
      </w:r>
    </w:p>
    <w:p>
      <w:pPr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十二、账号与云同步</w:t>
      </w:r>
    </w:p>
    <w:p>
      <w:pPr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十三、前端 App 架构</w:t>
      </w:r>
    </w:p>
    <w:p>
      <w:pPr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十四、公共地图网页</w:t>
      </w:r>
    </w:p>
    <w:p>
      <w:pPr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十五、部署与运维</w:t>
      </w:r>
    </w:p>
    <w:p>
      <w:pPr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十六、测试与质量保障</w:t>
      </w:r>
    </w:p>
    <w:p>
      <w:pPr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十七、参考文献</w:t>
      </w:r>
    </w:p>
    <w:p>
      <w:r>
        <w:br w:type="page"/>
      </w:r>
    </w:p>
    <w:p>
      <w:pPr>
        <w:spacing w:before="360" w:after="200"/>
      </w:pPr>
      <w:r>
        <w:rPr>
          <w:rFonts w:ascii="Times New Roman" w:hAnsi="Times New Roman" w:eastAsia="黑体"/>
          <w:b/>
          <w:i w:val="0"/>
          <w:color w:val="000000"/>
          <w:sz w:val="32"/>
        </w:rPr>
        <w:t>一、系统总体架构</w:t>
      </w:r>
    </w:p>
    <w:p>
      <w:pPr>
        <w:spacing w:before="240" w:after="120"/>
      </w:pPr>
      <w:r>
        <w:rPr>
          <w:rFonts w:ascii="Times New Roman" w:hAnsi="Times New Roman" w:eastAsia="黑体"/>
          <w:b/>
          <w:i w:val="0"/>
          <w:color w:val="000000"/>
          <w:sz w:val="26"/>
        </w:rPr>
        <w:t>1.1 架构总览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系统为「端—云」双层架构：Android App（React 18 H5 壳）→ 云端后端（FastAPI，Docker 容器）→ SQLite 数据库；公共地图网页（React + MapLibre GL）独立托管，只读访问云端公共接口。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1474"/>
            <w:tcBorders>
              <w:top w:val="single" w:sz="12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20"/>
              </w:rPr>
              <w:t>层</w:t>
            </w:r>
          </w:p>
        </w:tc>
        <w:tc>
          <w:tcPr>
            <w:tcW w:type="dxa" w:w="2494"/>
            <w:tcBorders>
              <w:top w:val="single" w:sz="12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20"/>
              </w:rPr>
              <w:t>技术</w:t>
            </w:r>
          </w:p>
        </w:tc>
        <w:tc>
          <w:tcPr>
            <w:tcW w:type="dxa" w:w="2948"/>
            <w:tcBorders>
              <w:top w:val="single" w:sz="12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20"/>
              </w:rPr>
              <w:t>职责</w:t>
            </w:r>
          </w:p>
        </w:tc>
      </w:tr>
      <w:tr>
        <w:tc>
          <w:tcPr>
            <w:tcW w:type="dxa" w:w="1474"/>
            <w:tcBorders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表现层 App</w:t>
            </w:r>
          </w:p>
        </w:tc>
        <w:tc>
          <w:tcPr>
            <w:tcW w:type="dxa" w:w="2494"/>
            <w:tcBorders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React 18 + Vite 5 + Tailwind CSS，Android WebView 套壳</w:t>
            </w:r>
          </w:p>
        </w:tc>
        <w:tc>
          <w:tcPr>
            <w:tcW w:type="dxa" w:w="2948"/>
            <w:tcBorders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录音、导入、结果展示、地区管理、图鉴、云同步</w:t>
            </w:r>
          </w:p>
        </w:tc>
      </w:tr>
      <w:tr>
        <w:tc>
          <w:tcPr>
            <w:tcW w:type="dxa" w:w="1474"/>
            <w:tcBorders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表现层 网页</w:t>
            </w:r>
          </w:p>
        </w:tc>
        <w:tc>
          <w:tcPr>
            <w:tcW w:type="dxa" w:w="2494"/>
            <w:tcBorders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React 18 + MapLibre GL 3.6 + 高德瓦片</w:t>
            </w:r>
          </w:p>
        </w:tc>
        <w:tc>
          <w:tcPr>
            <w:tcW w:type="dxa" w:w="2948"/>
            <w:tcBorders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公共地图浏览 / 检索 / 对比 / 看板 / 导出</w:t>
            </w:r>
          </w:p>
        </w:tc>
      </w:tr>
      <w:tr>
        <w:tc>
          <w:tcPr>
            <w:tcW w:type="dxa" w:w="1474"/>
            <w:tcBorders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服务层</w:t>
            </w:r>
          </w:p>
        </w:tc>
        <w:tc>
          <w:tcPr>
            <w:tcW w:type="dxa" w:w="2494"/>
            <w:tcBorders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FastAPI + uvicorn</w:t>
            </w:r>
          </w:p>
        </w:tc>
        <w:tc>
          <w:tcPr>
            <w:tcW w:type="dxa" w:w="2948"/>
            <w:tcBorders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REST API：分析、识别、公共数据、账号、备份、瓦片代理</w:t>
            </w:r>
          </w:p>
        </w:tc>
      </w:tr>
      <w:tr>
        <w:tc>
          <w:tcPr>
            <w:tcW w:type="dxa" w:w="1474"/>
            <w:tcBorders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算法层</w:t>
            </w:r>
          </w:p>
        </w:tc>
        <w:tc>
          <w:tcPr>
            <w:tcW w:type="dxa" w:w="2494"/>
            <w:tcBorders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BirdNET TFLite + numpy/scipy 自研 DSP</w:t>
            </w:r>
          </w:p>
        </w:tc>
        <w:tc>
          <w:tcPr>
            <w:tcW w:type="dxa" w:w="2948"/>
            <w:tcBorders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鸟声识别、声学指数、噪声估计、宜居度合成</w:t>
            </w:r>
          </w:p>
        </w:tc>
      </w:tr>
      <w:tr>
        <w:tc>
          <w:tcPr>
            <w:tcW w:type="dxa" w:w="1474"/>
            <w:tcBorders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数据层</w:t>
            </w:r>
          </w:p>
        </w:tc>
        <w:tc>
          <w:tcPr>
            <w:tcW w:type="dxa" w:w="2494"/>
            <w:tcBorders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SQLite（可换 PostgreSQL）</w:t>
            </w:r>
          </w:p>
        </w:tc>
        <w:tc>
          <w:tcPr>
            <w:tcW w:type="dxa" w:w="2948"/>
            <w:tcBorders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用户、Token、公共记录、云备份</w:t>
            </w:r>
          </w:p>
        </w:tc>
      </w:tr>
      <w:tr>
        <w:tc>
          <w:tcPr>
            <w:tcW w:type="dxa" w:w="1474"/>
            <w:tcBorders>
              <w:bottom w:val="single" w:sz="12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部署层</w:t>
            </w:r>
          </w:p>
        </w:tc>
        <w:tc>
          <w:tcPr>
            <w:tcW w:type="dxa" w:w="2494"/>
            <w:tcBorders>
              <w:bottom w:val="single" w:sz="12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Docker / podman（阿里云轻量服务器）+ nginx HTTPS</w:t>
            </w:r>
          </w:p>
        </w:tc>
        <w:tc>
          <w:tcPr>
            <w:tcW w:type="dxa" w:w="2948"/>
            <w:tcBorders>
              <w:bottom w:val="single" w:sz="12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容器化部署、数据卷持久化、开机自启、HTTPS 反代</w:t>
            </w:r>
          </w:p>
        </w:tc>
      </w:tr>
    </w:tbl>
    <w:p>
      <w:pPr>
        <w:spacing w:after="40"/>
      </w:pPr>
    </w:p>
    <w:p>
      <w:pPr>
        <w:spacing w:before="240" w:after="120"/>
      </w:pPr>
      <w:r>
        <w:rPr>
          <w:rFonts w:ascii="Times New Roman" w:hAnsi="Times New Roman" w:eastAsia="黑体"/>
          <w:b/>
          <w:i w:val="0"/>
          <w:color w:val="000000"/>
          <w:sz w:val="26"/>
        </w:rPr>
        <w:t>1.2 核心数据流</w:t>
      </w:r>
    </w:p>
    <w:p>
      <w:pPr>
        <w:pStyle w:val="ListBullet"/>
        <w:spacing w:line="360" w:lineRule="auto" w:after="40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录音分析：音频字节 → decode（ffmpeg/pyav）→ 重采样 48kHz/mono → 高通滤波 → BirdNET 推理 + STFT 指数 → 宜居度合成 → 返回 App；</w:t>
      </w:r>
    </w:p>
    <w:p>
      <w:pPr>
        <w:pStyle w:val="ListBullet"/>
        <w:spacing w:line="360" w:lineRule="auto" w:after="40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公共上传：App 保存的地区快照 → POST /api/public/records（Bearer Token）→ 落库（cluster_key 聚合键）→ 网页实时聚合查询；</w:t>
      </w:r>
    </w:p>
    <w:p>
      <w:pPr>
        <w:pStyle w:val="ListBullet"/>
        <w:spacing w:line="360" w:lineRule="auto" w:after="40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云同步：本地 JSON 快照 → POST /api/sync/backup（单行 upsert，≤2MB）→ 换机登录恢复。</w:t>
      </w:r>
    </w:p>
    <w:p>
      <w:pPr>
        <w:spacing w:before="360" w:after="200"/>
      </w:pPr>
      <w:r>
        <w:rPr>
          <w:rFonts w:ascii="Times New Roman" w:hAnsi="Times New Roman" w:eastAsia="黑体"/>
          <w:b/>
          <w:i w:val="0"/>
          <w:color w:val="000000"/>
          <w:sz w:val="32"/>
        </w:rPr>
        <w:t>二、技术栈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1587"/>
            <w:tcBorders>
              <w:top w:val="single" w:sz="12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20"/>
              </w:rPr>
              <w:t>模块</w:t>
            </w:r>
          </w:p>
        </w:tc>
        <w:tc>
          <w:tcPr>
            <w:tcW w:type="dxa" w:w="2948"/>
            <w:tcBorders>
              <w:top w:val="single" w:sz="12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20"/>
              </w:rPr>
              <w:t>选型</w:t>
            </w:r>
          </w:p>
        </w:tc>
        <w:tc>
          <w:tcPr>
            <w:tcW w:type="dxa" w:w="2381"/>
            <w:tcBorders>
              <w:top w:val="single" w:sz="12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20"/>
              </w:rPr>
              <w:t>说明</w:t>
            </w:r>
          </w:p>
        </w:tc>
      </w:tr>
      <w:tr>
        <w:tc>
          <w:tcPr>
            <w:tcW w:type="dxa" w:w="1587"/>
            <w:tcBorders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后端框架</w:t>
            </w:r>
          </w:p>
        </w:tc>
        <w:tc>
          <w:tcPr>
            <w:tcW w:type="dxa" w:w="2948"/>
            <w:tcBorders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FastAPI 0.11x + uvicorn</w:t>
            </w:r>
          </w:p>
        </w:tc>
        <w:tc>
          <w:tcPr>
            <w:tcW w:type="dxa" w:w="2381"/>
            <w:tcBorders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异步 ASGI，自动 OpenAPI 文档，Pydantic 契约校验</w:t>
            </w:r>
          </w:p>
        </w:tc>
      </w:tr>
      <w:tr>
        <w:tc>
          <w:tcPr>
            <w:tcW w:type="dxa" w:w="1587"/>
            <w:tcBorders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音频解码</w:t>
            </w:r>
          </w:p>
        </w:tc>
        <w:tc>
          <w:tcPr>
            <w:tcW w:type="dxa" w:w="2948"/>
            <w:tcBorders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ffmpeg（外部进程）+ PyAV 双通道</w:t>
            </w:r>
          </w:p>
        </w:tc>
        <w:tc>
          <w:tcPr>
            <w:tcW w:type="dxa" w:w="2381"/>
            <w:tcBorders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mp3/m4a/webm 等容器解码；WAV 直读</w:t>
            </w:r>
          </w:p>
        </w:tc>
      </w:tr>
      <w:tr>
        <w:tc>
          <w:tcPr>
            <w:tcW w:type="dxa" w:w="1587"/>
            <w:tcBorders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数值计算</w:t>
            </w:r>
          </w:p>
        </w:tc>
        <w:tc>
          <w:tcPr>
            <w:tcW w:type="dxa" w:w="2948"/>
            <w:tcBorders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numpy + scipy + soundfile</w:t>
            </w:r>
          </w:p>
        </w:tc>
        <w:tc>
          <w:tcPr>
            <w:tcW w:type="dxa" w:w="2381"/>
            <w:tcBorders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STFT、滤波器组、指数计算；自研 DSP 不依赖 librosa</w:t>
            </w:r>
          </w:p>
        </w:tc>
      </w:tr>
      <w:tr>
        <w:tc>
          <w:tcPr>
            <w:tcW w:type="dxa" w:w="1587"/>
            <w:tcBorders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推理引擎</w:t>
            </w:r>
          </w:p>
        </w:tc>
        <w:tc>
          <w:tcPr>
            <w:tcW w:type="dxa" w:w="2948"/>
            <w:tcBorders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BirdNET GLOBAL 6K V2.4（TFLite）</w:t>
            </w:r>
          </w:p>
        </w:tc>
        <w:tc>
          <w:tcPr>
            <w:tcW w:type="dxa" w:w="2381"/>
            <w:tcBorders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本地推理，离线可用；模型缺失自动降级启发式引擎</w:t>
            </w:r>
          </w:p>
        </w:tc>
      </w:tr>
      <w:tr>
        <w:tc>
          <w:tcPr>
            <w:tcW w:type="dxa" w:w="1587"/>
            <w:tcBorders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前端 App</w:t>
            </w:r>
          </w:p>
        </w:tc>
        <w:tc>
          <w:tcPr>
            <w:tcW w:type="dxa" w:w="2948"/>
            <w:tcBorders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React 18 + Vite 5 + Tailwind 3</w:t>
            </w:r>
          </w:p>
        </w:tc>
        <w:tc>
          <w:tcPr>
            <w:tcW w:type="dxa" w:w="2381"/>
            <w:tcBorders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H5 单页应用，Android WebView 套壳（Kotlin）</w:t>
            </w:r>
          </w:p>
        </w:tc>
      </w:tr>
      <w:tr>
        <w:tc>
          <w:tcPr>
            <w:tcW w:type="dxa" w:w="1587"/>
            <w:tcBorders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公共网页</w:t>
            </w:r>
          </w:p>
        </w:tc>
        <w:tc>
          <w:tcPr>
            <w:tcW w:type="dxa" w:w="2948"/>
            <w:tcBorders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React 18 + MapLibre GL 3.6 + qrcode</w:t>
            </w:r>
          </w:p>
        </w:tc>
        <w:tc>
          <w:tcPr>
            <w:tcW w:type="dxa" w:w="2381"/>
            <w:tcBorders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高德栅格瓦片代理；二维码分享</w:t>
            </w:r>
          </w:p>
        </w:tc>
      </w:tr>
      <w:tr>
        <w:tc>
          <w:tcPr>
            <w:tcW w:type="dxa" w:w="1587"/>
            <w:tcBorders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数据库</w:t>
            </w:r>
          </w:p>
        </w:tc>
        <w:tc>
          <w:tcPr>
            <w:tcW w:type="dxa" w:w="2948"/>
            <w:tcBorders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SQLite（WAL）</w:t>
            </w:r>
          </w:p>
        </w:tc>
        <w:tc>
          <w:tcPr>
            <w:tcW w:type="dxa" w:w="2381"/>
            <w:tcBorders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单文件、零运维；预留 PostgreSQL 迁移</w:t>
            </w:r>
          </w:p>
        </w:tc>
      </w:tr>
      <w:tr>
        <w:tc>
          <w:tcPr>
            <w:tcW w:type="dxa" w:w="1587"/>
            <w:tcBorders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部署</w:t>
            </w:r>
          </w:p>
        </w:tc>
        <w:tc>
          <w:tcPr>
            <w:tcW w:type="dxa" w:w="2948"/>
            <w:tcBorders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Docker/podman + nginx（阿里云）</w:t>
            </w:r>
          </w:p>
        </w:tc>
        <w:tc>
          <w:tcPr>
            <w:tcW w:type="dxa" w:w="2381"/>
            <w:tcBorders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容器化、数据卷 /app/data、开机自启、HTTPS 反代</w:t>
            </w:r>
          </w:p>
        </w:tc>
      </w:tr>
      <w:tr>
        <w:tc>
          <w:tcPr>
            <w:tcW w:type="dxa" w:w="1587"/>
            <w:tcBorders>
              <w:bottom w:val="single" w:sz="12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CI</w:t>
            </w:r>
          </w:p>
        </w:tc>
        <w:tc>
          <w:tcPr>
            <w:tcW w:type="dxa" w:w="2948"/>
            <w:tcBorders>
              <w:bottom w:val="single" w:sz="12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GitHub Actions</w:t>
            </w:r>
          </w:p>
        </w:tc>
        <w:tc>
          <w:tcPr>
            <w:tcW w:type="dxa" w:w="2381"/>
            <w:tcBorders>
              <w:bottom w:val="single" w:sz="12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后端镜像构建推送 ghcr；Android APK 自动打包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360" w:after="200"/>
      </w:pPr>
      <w:r>
        <w:rPr>
          <w:rFonts w:ascii="Times New Roman" w:hAnsi="Times New Roman" w:eastAsia="黑体"/>
          <w:b/>
          <w:i w:val="0"/>
          <w:color w:val="000000"/>
          <w:sz w:val="32"/>
        </w:rPr>
        <w:t>三、音频采集与预处理</w:t>
      </w:r>
    </w:p>
    <w:p>
      <w:pPr>
        <w:spacing w:before="240" w:after="120"/>
      </w:pPr>
      <w:r>
        <w:rPr>
          <w:rFonts w:ascii="Times New Roman" w:hAnsi="Times New Roman" w:eastAsia="黑体"/>
          <w:b/>
          <w:i w:val="0"/>
          <w:color w:val="000000"/>
          <w:sz w:val="26"/>
        </w:rPr>
        <w:t>3.1 采集规格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手机麦克风录音（App 内录音最高 48kHz/16bit）；导入文件支持 wav/mp3/m4a/webm 等。后端统一重采样至 48kHz、单声道、float32。</w:t>
      </w:r>
    </w:p>
    <w:p>
      <w:pPr>
        <w:spacing w:before="240" w:after="120"/>
      </w:pPr>
      <w:r>
        <w:rPr>
          <w:rFonts w:ascii="Times New Roman" w:hAnsi="Times New Roman" w:eastAsia="黑体"/>
          <w:b/>
          <w:i w:val="0"/>
          <w:color w:val="000000"/>
          <w:sz w:val="26"/>
        </w:rPr>
        <w:t>3.2 解码与预处理链路</w:t>
      </w:r>
    </w:p>
    <w:p>
      <w:pPr>
        <w:pStyle w:val="ListBullet"/>
        <w:spacing w:line="360" w:lineRule="auto" w:after="40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解码：优先 PyAV（内存解码），失败回退 ffmpeg 子进程；</w:t>
      </w:r>
    </w:p>
    <w:p>
      <w:pPr>
        <w:pStyle w:val="ListBullet"/>
        <w:spacing w:line="360" w:lineRule="auto" w:after="40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重采样：scipy.signal.resample_poly 至 48kHz；</w:t>
      </w:r>
    </w:p>
    <w:p>
      <w:pPr>
        <w:pStyle w:val="ListBullet"/>
        <w:spacing w:line="360" w:lineRule="auto" w:after="40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单声道：多声道按均值混缩（_to_mono）；</w:t>
      </w:r>
    </w:p>
    <w:p>
      <w:pPr>
        <w:pStyle w:val="ListBullet"/>
        <w:spacing w:line="360" w:lineRule="auto" w:after="40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高通滤波：去除 200Hz 以下交通/机械低频（削弱风噪与电机声）。</w:t>
      </w:r>
    </w:p>
    <w:p>
      <w:pPr>
        <w:spacing w:before="240" w:after="120"/>
      </w:pPr>
      <w:r>
        <w:rPr>
          <w:rFonts w:ascii="Times New Roman" w:hAnsi="Times New Roman" w:eastAsia="黑体"/>
          <w:b/>
          <w:i w:val="0"/>
          <w:color w:val="000000"/>
          <w:sz w:val="26"/>
        </w:rPr>
        <w:t>3.3 短时傅里叶变换（STFT）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声学指数与热力图的基础为 STFT 幅度谱：</w:t>
      </w:r>
    </w:p>
    <w:p>
      <w:pPr>
        <w:spacing w:before="120" w:after="120"/>
        <w:jc w:val="center"/>
      </w:pPr>
      <m:oMath>
        <m:r>
          <m:t>X(t,f)=</m:t>
        </m:r>
        <m:d>
          <m:dPr>
            <m:begChr m:val="|"/>
            <m:sepChr m:val=""/>
            <m:endChr m:val="|"/>
          </m:dPr>
          <m:e>
            <m:nary>
              <m:naryPr>
                <m:chr m:val="∑"/>
                <m:limLoc m:val="subSup"/>
                <m:grow m:val="1"/>
                <m:subHide m:val="off"/>
                <m:supHide m:val="on"/>
              </m:naryPr>
              <m:sub>
                <m:r>
                  <m:t>n</m:t>
                </m:r>
              </m:sub>
              <m:sup/>
              <m:e>
                <m:r>
                  <m:t>x</m:t>
                </m:r>
              </m:e>
            </m:nary>
            <m:r>
              <m:t>(</m:t>
            </m:r>
            <m:r>
              <m:t>n</m:t>
            </m:r>
            <m:r>
              <m:t>)</m:t>
            </m:r>
            <m:r>
              <m:t>w</m:t>
            </m:r>
            <m:r>
              <m:t>(</m:t>
            </m:r>
            <m:r>
              <m:t>n</m:t>
            </m:r>
            <m:r>
              <m:t>−</m:t>
            </m:r>
            <m:r>
              <m:t>t</m:t>
            </m:r>
            <m:r>
              <m:t>H</m:t>
            </m:r>
            <m:r>
              <m:t>)</m:t>
            </m:r>
            <m:sSup>
              <m:e>
                <m:r>
                  <m:t>e</m:t>
                </m:r>
              </m:e>
              <m:sup>
                <m:r>
                  <m:t>−j2πfn/N</m:t>
                </m:r>
              </m:sup>
            </m:sSup>
          </m:e>
        </m:d>
      </m:oMath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其中 x(n) 为时域采样序列，w(·) 为窗函数（Hann），N 为 FFT 长度，H 为帧移。参数：N=1024，H=512；48kHz 下频率分辨率约 46.9Hz，帧长约 21.3ms，时间分辨率约 10.7ms。</w:t>
      </w:r>
    </w:p>
    <w:p>
      <w:pPr>
        <w:spacing w:before="240" w:after="120"/>
      </w:pPr>
      <w:r>
        <w:rPr>
          <w:rFonts w:ascii="Times New Roman" w:hAnsi="Times New Roman" w:eastAsia="黑体"/>
          <w:b/>
          <w:i w:val="0"/>
          <w:color w:val="000000"/>
          <w:sz w:val="26"/>
        </w:rPr>
        <w:t>3.4 Mel 滤波器组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识别与可视化使用 Mel 刻度，频率到 Mel 的映射为：</w:t>
      </w:r>
    </w:p>
    <w:p>
      <w:pPr>
        <w:spacing w:before="120" w:after="120"/>
        <w:jc w:val="center"/>
      </w:pPr>
      <m:oMath>
        <m:r>
          <m:rPr>
            <m:sty m:val="p"/>
          </m:rPr>
          <m:t>mel</m:t>
        </m:r>
        <m:r>
          <m:t>(f)=2595</m:t>
        </m:r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  <m:d>
          <m:dPr>
            <m:sepChr m:val="+"/>
          </m:dPr>
          <m:e>
            <m:r>
              <m:t>1</m:t>
            </m:r>
          </m:e>
          <m:e>
            <m:f>
              <m:fPr>
                <m:type m:val="bar"/>
              </m:fPr>
              <m:num>
                <m:r>
                  <m:t>f</m:t>
                </m:r>
              </m:num>
              <m:den>
                <m:r>
                  <m:t>700</m:t>
                </m:r>
              </m:den>
            </m:f>
          </m:e>
        </m:d>
      </m:oMath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三角滤波器组（Slaney 归一化），默认 128 个 Mel 频带，fmin=0，fmax=采样率/2。</w:t>
      </w:r>
    </w:p>
    <w:p>
      <w:r>
        <w:br w:type="page"/>
      </w:r>
    </w:p>
    <w:p>
      <w:pPr>
        <w:spacing w:before="360" w:after="200"/>
      </w:pPr>
      <w:r>
        <w:rPr>
          <w:rFonts w:ascii="Times New Roman" w:hAnsi="Times New Roman" w:eastAsia="黑体"/>
          <w:b/>
          <w:i w:val="0"/>
          <w:color w:val="000000"/>
          <w:sz w:val="32"/>
        </w:rPr>
        <w:t>四、鸟声识别算法</w:t>
      </w:r>
    </w:p>
    <w:p>
      <w:pPr>
        <w:spacing w:before="240" w:after="120"/>
      </w:pPr>
      <w:r>
        <w:rPr>
          <w:rFonts w:ascii="Times New Roman" w:hAnsi="Times New Roman" w:eastAsia="黑体"/>
          <w:b/>
          <w:i w:val="0"/>
          <w:color w:val="000000"/>
          <w:sz w:val="26"/>
        </w:rPr>
        <w:t>4.1 主引擎：BirdNET GLOBAL 6K V2.4（TFLite）</w:t>
      </w:r>
    </w:p>
    <w:p>
      <w:pPr>
        <w:pStyle w:val="ListBullet"/>
        <w:spacing w:line="360" w:lineRule="auto" w:after="40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模型：康奈尔大学 BirdNET 官方 V2.4 TFLite 模型，6,522 类（全球鸟种），本地推理；</w:t>
      </w:r>
    </w:p>
    <w:p>
      <w:pPr>
        <w:pStyle w:val="ListBullet"/>
        <w:spacing w:line="360" w:lineRule="auto" w:after="40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输入：3 秒原始波形（48kHz × 3s = 144,000 样本），float32；</w:t>
      </w:r>
    </w:p>
    <w:p>
      <w:pPr>
        <w:pStyle w:val="ListBullet"/>
        <w:spacing w:line="360" w:lineRule="auto" w:after="40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输出：每类 logits 经 flat-sigmoid 映射为概率（官方 sensitivity=−1 / bias=1.0，即标准 sigmoid）：</w:t>
      </w:r>
    </w:p>
    <w:p>
      <w:pPr>
        <w:spacing w:before="120" w:after="120"/>
        <w:jc w:val="center"/>
      </w:pPr>
      <m:oMath>
        <m:sSub>
          <m:e>
            <m:r>
              <m:t>p</m:t>
            </m:r>
          </m:e>
          <m:sub>
            <m:r>
              <m:t>k</m:t>
            </m:r>
          </m:sub>
        </m:sSub>
        <m: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1+</m:t>
            </m:r>
            <m:sSup>
              <m:e>
                <m:r>
                  <m:t>e</m:t>
                </m:r>
              </m:e>
              <m:sup>
                <m:r>
                  <m:t>−</m:t>
                </m:r>
                <m:sSub>
                  <m:e>
                    <m:r>
                      <m:t>z</m:t>
                    </m:r>
                  </m:e>
                  <m:sub>
                    <m:r>
                      <m:t>k</m:t>
                    </m:r>
                  </m:sub>
                </m:sSub>
              </m:sup>
            </m:sSup>
          </m:den>
        </m:f>
      </m:oMath>
    </w:p>
    <w:p>
      <w:pPr>
        <w:pStyle w:val="ListBullet"/>
        <w:spacing w:line="360" w:lineRule="auto" w:after="40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分窗：长录音按 3s 切窗（不足零填充），逐窗推理；</w:t>
      </w:r>
    </w:p>
    <w:p>
      <w:pPr>
        <w:pStyle w:val="ListBullet"/>
        <w:spacing w:line="360" w:lineRule="auto" w:after="40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跨窗聚合：物种置信度取「各窗最大值」（某鸟仅在 3s 窗口鸣叫也能被捕获）；freq（出现频次）= 置信度 ≥ 阈值的窗口数（占据率）；</w:t>
      </w:r>
    </w:p>
    <w:p>
      <w:pPr>
        <w:pStyle w:val="ListBullet"/>
        <w:spacing w:line="360" w:lineRule="auto" w:after="40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输出条目：{id, name(中文), latin, conf(0-1), freq, period(清晨/上午/黄昏/全天)}；阈值默认 0.50，可调 0.30–0.90；topK 默认 20。</w:t>
      </w:r>
    </w:p>
    <w:p>
      <w:pPr>
        <w:spacing w:before="240" w:after="120"/>
      </w:pPr>
      <w:r>
        <w:rPr>
          <w:rFonts w:ascii="Times New Roman" w:hAnsi="Times New Roman" w:eastAsia="黑体"/>
          <w:b/>
          <w:i w:val="0"/>
          <w:color w:val="000000"/>
          <w:sz w:val="26"/>
        </w:rPr>
        <w:t>4.2 降级引擎：启发式鸟鸣检测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当模型文件缺失（离线环境）时，使用自研启发式引擎，保证功能不中断：</w:t>
      </w:r>
    </w:p>
    <w:p>
      <w:pPr>
        <w:pStyle w:val="ListBullet"/>
        <w:spacing w:line="360" w:lineRule="auto" w:after="40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音节切分：短时能量包络 + 频带能量检测，提取候选音节（起止帧）；</w:t>
      </w:r>
    </w:p>
    <w:p>
      <w:pPr>
        <w:pStyle w:val="ListBullet"/>
        <w:spacing w:line="360" w:lineRule="auto" w:after="40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调性检测：计算音节频谱的调性（tonalness）指标，滤除宽带噪声伪音节；</w:t>
      </w:r>
    </w:p>
    <w:p>
      <w:pPr>
        <w:pStyle w:val="ListBullet"/>
        <w:spacing w:line="360" w:lineRule="auto" w:after="40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主频匹配：以音节主频（dominant frequency）与内置鸟种声学档案（主频区间）匹配，得到候选物种与置信度；</w:t>
      </w:r>
    </w:p>
    <w:p>
      <w:pPr>
        <w:pStyle w:val="ListBullet"/>
        <w:spacing w:line="360" w:lineRule="auto" w:after="40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同时输出鸟声活动度 activity（0-1）。</w:t>
      </w:r>
    </w:p>
    <w:p>
      <w:pPr>
        <w:spacing w:before="240" w:after="120"/>
      </w:pPr>
      <w:r>
        <w:rPr>
          <w:rFonts w:ascii="Times New Roman" w:hAnsi="Times New Roman" w:eastAsia="黑体"/>
          <w:b/>
          <w:i w:val="0"/>
          <w:color w:val="000000"/>
          <w:sz w:val="26"/>
        </w:rPr>
        <w:t>4.3 鸟声活动度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活动度 = 检测到鸟声的有效窗口占比，作为宜居度模型的可信度输入之一。</w:t>
      </w:r>
    </w:p>
    <w:p>
      <w:r>
        <w:br w:type="page"/>
      </w:r>
    </w:p>
    <w:p>
      <w:pPr>
        <w:spacing w:before="360" w:after="200"/>
      </w:pPr>
      <w:r>
        <w:rPr>
          <w:rFonts w:ascii="Times New Roman" w:hAnsi="Times New Roman" w:eastAsia="黑体"/>
          <w:b/>
          <w:i w:val="0"/>
          <w:color w:val="000000"/>
          <w:sz w:val="32"/>
        </w:rPr>
        <w:t>五、生态声学指数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四个指数全部基于 48kHz STFT 幅度谱计算，口径与生态声学文献一致。</w:t>
      </w:r>
    </w:p>
    <w:p>
      <w:pPr>
        <w:spacing w:before="240" w:after="120"/>
      </w:pPr>
      <w:r>
        <w:rPr>
          <w:rFonts w:ascii="Times New Roman" w:hAnsi="Times New Roman" w:eastAsia="黑体"/>
          <w:b/>
          <w:i w:val="0"/>
          <w:color w:val="000000"/>
          <w:sz w:val="26"/>
        </w:rPr>
        <w:t>5.1 ACI —— 声学复杂度（Pieretti et al., 2011）</w:t>
      </w:r>
    </w:p>
    <w:p>
      <w:pPr>
        <w:spacing w:before="120" w:after="120"/>
        <w:jc w:val="center"/>
      </w:pPr>
      <m:oMath>
        <m:r>
          <m:rPr>
            <m:sty m:val="p"/>
          </m:rPr>
          <m:t>ACI</m:t>
        </m:r>
        <m: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N</m:t>
                </m:r>
              </m:e>
              <m:sub>
                <m:r>
                  <m:t>f</m:t>
                </m:r>
              </m:sub>
            </m:sSub>
          </m:den>
        </m:f>
        <m:nary>
          <m:naryPr>
            <m:chr m:val="∑"/>
            <m:limLoc m:val="subSup"/>
            <m:grow m:val="1"/>
            <m:subHide m:val="off"/>
            <m:supHide m:val="on"/>
          </m:naryPr>
          <m:sub>
            <m:r>
              <m:t>f</m:t>
            </m:r>
          </m:sub>
          <m:sup/>
          <m:e>
            <m:f>
              <m:fPr>
                <m:type m:val="bar"/>
              </m:fPr>
              <m:num>
                <m:nary>
                  <m:naryPr>
                    <m:chr m:val="∑"/>
                    <m:limLoc m:val="subSup"/>
                    <m:grow m:val="1"/>
                    <m:subHide m:val="off"/>
                    <m:supHide m:val="on"/>
                  </m:naryPr>
                  <m:sub>
                    <m:r>
                      <m:t>t</m:t>
                    </m:r>
                  </m:sub>
                  <m:sup/>
                  <m:e>
                    <m:d>
                      <m:dPr>
                        <m:begChr m:val="|"/>
                        <m:sepChr m:val=""/>
                        <m:endChr m:val="|"/>
                      </m:dPr>
                      <m:e>
                        <m:r>
                          <m:t>d</m:t>
                        </m:r>
                        <m:r>
                          <m:t>B</m:t>
                        </m:r>
                        <m:r>
                          <m:t>(</m:t>
                        </m:r>
                        <m:r>
                          <m:t>f</m:t>
                        </m:r>
                        <m:r>
                          <m:t>,</m:t>
                        </m:r>
                        <m:r>
                          <m:t>t</m:t>
                        </m:r>
                        <m:r>
                          <m:t>)</m:t>
                        </m:r>
                        <m:r>
                          <m:t>−</m:t>
                        </m:r>
                        <m:r>
                          <m:t>d</m:t>
                        </m:r>
                        <m:r>
                          <m:t>B</m:t>
                        </m:r>
                        <m:r>
                          <m:t>(</m:t>
                        </m:r>
                        <m:r>
                          <m:t>f</m:t>
                        </m:r>
                        <m:r>
                          <m:t>,</m:t>
                        </m:r>
                        <m:r>
                          <m:t>t</m:t>
                        </m:r>
                        <m:r>
                          <m:t>−</m:t>
                        </m:r>
                        <m:r>
                          <m:t>1</m:t>
                        </m:r>
                        <m:r>
                          <m:t>)</m:t>
                        </m:r>
                      </m:e>
                    </m:d>
                  </m:e>
                </m:nary>
              </m:num>
              <m:den>
                <m:nary>
                  <m:naryPr>
                    <m:chr m:val="∑"/>
                    <m:limLoc m:val="subSup"/>
                    <m:grow m:val="1"/>
                    <m:subHide m:val="off"/>
                    <m:supHide m:val="on"/>
                  </m:naryPr>
                  <m:sub>
                    <m:r>
                      <m:t>t</m:t>
                    </m:r>
                  </m:sub>
                  <m:sup/>
                  <m:e>
                    <m:d>
                      <m:dPr>
                        <m:sepChr m:val=""/>
                      </m:dPr>
                      <m:e>
                        <m:r>
                          <m:t>d</m:t>
                        </m:r>
                        <m:r>
                          <m:t>B</m:t>
                        </m:r>
                        <m:r>
                          <m:t>(</m:t>
                        </m:r>
                        <m:r>
                          <m:t>f</m:t>
                        </m:r>
                        <m:r>
                          <m:t>,</m:t>
                        </m:r>
                        <m:r>
                          <m:t>t</m:t>
                        </m:r>
                        <m:r>
                          <m:t>)</m:t>
                        </m:r>
                        <m:r>
                          <m:t>−</m:t>
                        </m:r>
                        <m:sSub>
                          <m:e>
                            <m:r>
                              <m:t>min</m:t>
                            </m:r>
                          </m:e>
                          <m:sub>
                            <m:r>
                              <m:t>f</m:t>
                            </m:r>
                          </m:sub>
                        </m:sSub>
                        <m:r>
                          <m:t>d</m:t>
                        </m:r>
                        <m:r>
                          <m:t>B</m:t>
                        </m:r>
                        <m:r>
                          <m:t>(</m:t>
                        </m:r>
                        <m:r>
                          <m:t>f</m:t>
                        </m:r>
                        <m:r>
                          <m:t>)</m:t>
                        </m:r>
                        <m:r>
                          <m:t>+</m:t>
                        </m:r>
                        <m:r>
                          <m:t>1</m:t>
                        </m:r>
                      </m:e>
                    </m:d>
                  </m:e>
                </m:nary>
              </m:den>
            </m:f>
          </m:e>
        </m:nary>
      </m:oMath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实现：先转 dB（下限 −80dB），按频点累计相邻帧 dB 差绝对值，除以平移后 dB 和，再对频点取均值；dB 域使鸟鸣的强动态变化高于宽频噪声的小幅抖动，鸟鸣场景 ACI 更高。展示值：pct_ACI = round(100 × tanh(8.0 × ACI))。</w:t>
      </w:r>
    </w:p>
    <w:p>
      <w:pPr>
        <w:spacing w:before="240" w:after="120"/>
      </w:pPr>
      <w:r>
        <w:rPr>
          <w:rFonts w:ascii="Times New Roman" w:hAnsi="Times New Roman" w:eastAsia="黑体"/>
          <w:b/>
          <w:i w:val="0"/>
          <w:color w:val="000000"/>
          <w:sz w:val="26"/>
        </w:rPr>
        <w:t>5.2 NDSI —— 归一化声景（Kasten et al., 2012）</w:t>
      </w:r>
    </w:p>
    <w:p>
      <w:pPr>
        <w:spacing w:before="120" w:after="120"/>
        <w:jc w:val="center"/>
      </w:pPr>
      <m:oMath>
        <m:r>
          <m:rPr>
            <m:sty m:val="p"/>
          </m:rPr>
          <m:t>NDSI</m:t>
        </m:r>
        <m:r>
          <m:t>=</m:t>
        </m:r>
        <m:f>
          <m:fPr>
            <m:type m:val="bar"/>
          </m:fPr>
          <m:num>
            <m:sSub>
              <m:e>
                <m:r>
                  <m:t>E</m:t>
                </m:r>
              </m:e>
              <m:sub>
                <m:r>
                  <m:t>bio</m:t>
                </m:r>
              </m:sub>
            </m:sSub>
            <m:r>
              <m:t>−</m:t>
            </m:r>
            <m:sSub>
              <m:e>
                <m:r>
                  <m:t>E</m:t>
                </m:r>
              </m:e>
              <m:sub>
                <m:r>
                  <m:t>anthro</m:t>
                </m:r>
              </m:sub>
            </m:sSub>
          </m:num>
          <m:den>
            <m:sSub>
              <m:e>
                <m:r>
                  <m:t>E</m:t>
                </m:r>
              </m:e>
              <m:sub>
                <m:r>
                  <m:t>bio</m:t>
                </m:r>
              </m:sub>
            </m:sSub>
            <m:r>
              <m:t>+</m:t>
            </m:r>
            <m:sSub>
              <m:e>
                <m:r>
                  <m:t>E</m:t>
                </m:r>
              </m:e>
              <m:sub>
                <m:r>
                  <m:t>anthro</m:t>
                </m:r>
              </m:sub>
            </m:sSub>
          </m:den>
        </m:f>
        <m:r>
          <m:t>,</m:t>
        </m:r>
        <m:r>
          <m:rPr>
            <m:sty m:val="p"/>
          </m:rPr>
          <m:t>NDSI</m:t>
        </m:r>
        <m:r>
          <m:t>∈[−1,1]</m:t>
        </m:r>
      </m:oMath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E_bio 为 2–11kHz 频带功率（生物声带），E_anthro 为 1–2kHz 频带功率（人为/交通声带）。正值表示生物声主导，负值表示人为噪声主导。展示值：pct_NDSI = (NDSI+1)/2 × 100。</w:t>
      </w:r>
    </w:p>
    <w:p>
      <w:pPr>
        <w:spacing w:before="240" w:after="120"/>
      </w:pPr>
      <w:r>
        <w:rPr>
          <w:rFonts w:ascii="Times New Roman" w:hAnsi="Times New Roman" w:eastAsia="黑体"/>
          <w:b/>
          <w:i w:val="0"/>
          <w:color w:val="000000"/>
          <w:sz w:val="26"/>
        </w:rPr>
        <w:t>5.3 ADI —— 声学多样性（Villanueva-Rivera et al., 2011）</w:t>
      </w:r>
    </w:p>
    <w:p>
      <w:pPr>
        <w:spacing w:before="120" w:after="120"/>
        <w:jc w:val="center"/>
      </w:pPr>
      <m:oMath>
        <m:r>
          <m:rPr>
            <m:sty m:val="p"/>
          </m:rPr>
          <m:t>ADI</m:t>
        </m:r>
        <m:r>
          <m:t>=−</m:t>
        </m:r>
        <m:f>
          <m:fPr>
            <m:type m:val="bar"/>
          </m:fPr>
          <m:num>
            <m:nary>
              <m:naryPr>
                <m:chr m:val="∑"/>
                <m:limLoc m:val="subSup"/>
                <m:grow m:val="1"/>
                <m:subHide m:val="off"/>
                <m:supHide m:val="on"/>
              </m:naryPr>
              <m:sub>
                <m:r>
                  <m:t>i</m:t>
                </m:r>
              </m:sub>
              <m:sup/>
              <m:e>
                <m:sSub>
                  <m:e>
                    <m:r>
                      <m:t>p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r>
              <m:rPr>
                <m:sty m:val="p"/>
              </m:rPr>
              <m:t>ln</m:t>
            </m:r>
            <m:sSub>
              <m:e>
                <m:r>
                  <m:t>p</m:t>
                </m:r>
              </m:e>
              <m:sub>
                <m:r>
                  <m:t>i</m:t>
                </m:r>
              </m:sub>
            </m:sSub>
          </m:num>
          <m:den>
            <m:r>
              <m:rPr>
                <m:sty m:val="p"/>
              </m:rPr>
              <m:t>ln</m:t>
            </m:r>
            <m:sSub>
              <m:e>
                <m:r>
                  <m:t>N</m:t>
                </m:r>
              </m:e>
              <m:sub>
                <m:r>
                  <m:t>sel</m:t>
                </m:r>
              </m:sub>
            </m:sSub>
          </m:den>
        </m:f>
      </m:oMath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将 0–11kHz 均分为 10 个频带；保留能量高于「最大频带能量 − 50dB」的频带（共 N_sel 个），对归一化能量 p_i 计算 Shannon 熵并除以 ln(N_sel) 归一化，∈[0,1]。</w:t>
      </w:r>
    </w:p>
    <w:p>
      <w:pPr>
        <w:spacing w:before="240" w:after="120"/>
      </w:pPr>
      <w:r>
        <w:rPr>
          <w:rFonts w:ascii="Times New Roman" w:hAnsi="Times New Roman" w:eastAsia="黑体"/>
          <w:b/>
          <w:i w:val="0"/>
          <w:color w:val="000000"/>
          <w:sz w:val="26"/>
        </w:rPr>
        <w:t>5.4 H —— 声学熵（Sueur et al., 2008）</w:t>
      </w:r>
    </w:p>
    <w:p>
      <w:pPr>
        <w:spacing w:before="120" w:after="120"/>
        <w:jc w:val="center"/>
      </w:pPr>
      <m:oMath>
        <m:r>
          <m:t>H=</m:t>
        </m:r>
        <m:sSub>
          <m:e>
            <m:r>
              <m:t>H</m:t>
            </m:r>
          </m:e>
          <m:sub>
            <m:r>
              <m:t>t</m:t>
            </m:r>
          </m:sub>
        </m:sSub>
        <m:r>
          <m:t>·</m:t>
        </m:r>
        <m:sSub>
          <m:e>
            <m:r>
              <m:t>H</m:t>
            </m:r>
          </m:e>
          <m:sub>
            <m:r>
              <m:t>f</m:t>
            </m:r>
          </m:sub>
        </m:sSub>
        <m:r>
          <m:t>,</m:t>
        </m:r>
        <m:sSub>
          <m:e>
            <m:r>
              <m:t>H</m:t>
            </m:r>
          </m:e>
          <m:sub>
            <m:r>
              <m:t>t</m:t>
            </m:r>
          </m:sub>
        </m:sSub>
        <m:r>
          <m:t>=−</m:t>
        </m:r>
        <m:f>
          <m:fPr>
            <m:type m:val="bar"/>
          </m:fPr>
          <m:num>
            <m:r>
              <m:t>∑</m:t>
            </m:r>
            <m:sSub>
              <m:e>
                <m:r>
                  <m:t>p</m:t>
                </m:r>
              </m:e>
              <m:sub>
                <m:r>
                  <m:t>t</m:t>
                </m:r>
              </m:sub>
            </m:sSub>
            <m:r>
              <m:rPr>
                <m:sty m:val="p"/>
              </m:rPr>
              <m:t>ln</m:t>
            </m:r>
            <m:sSub>
              <m:e>
                <m:r>
                  <m:t>p</m:t>
                </m:r>
              </m:e>
              <m:sub>
                <m:r>
                  <m:t>t</m:t>
                </m:r>
              </m:sub>
            </m:sSub>
          </m:num>
          <m:den>
            <m:r>
              <m:rPr>
                <m:sty m:val="p"/>
              </m:rPr>
              <m:t>ln</m:t>
            </m:r>
            <m:sSub>
              <m:e>
                <m:r>
                  <m:t>N</m:t>
                </m:r>
              </m:e>
              <m:sub>
                <m:r>
                  <m:t>t</m:t>
                </m:r>
              </m:sub>
            </m:sSub>
          </m:den>
        </m:f>
        <m:r>
          <m:t>,</m:t>
        </m:r>
        <m:sSub>
          <m:e>
            <m:r>
              <m:t>H</m:t>
            </m:r>
          </m:e>
          <m:sub>
            <m:r>
              <m:t>f</m:t>
            </m:r>
          </m:sub>
        </m:sSub>
        <m:r>
          <m:t>=−</m:t>
        </m:r>
        <m:f>
          <m:fPr>
            <m:type m:val="bar"/>
          </m:fPr>
          <m:num>
            <m:r>
              <m:t>∑</m:t>
            </m:r>
            <m:sSub>
              <m:e>
                <m:r>
                  <m:t>p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ln</m:t>
            </m:r>
            <m:sSub>
              <m:e>
                <m:r>
                  <m:t>p</m:t>
                </m:r>
              </m:e>
              <m:sub>
                <m:r>
                  <m:t>f</m:t>
                </m:r>
              </m:sub>
            </m:sSub>
          </m:num>
          <m:den>
            <m:r>
              <m:rPr>
                <m:sty m:val="p"/>
              </m:rPr>
              <m:t>ln</m:t>
            </m:r>
            <m:sSub>
              <m:e>
                <m:r>
                  <m:t>N</m:t>
                </m:r>
              </m:e>
              <m:sub>
                <m:r>
                  <m:t>f</m:t>
                </m:r>
              </m:sub>
            </m:sSub>
          </m:den>
        </m:f>
      </m:oMath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时间熵 H_t：10ms 短时 RMS 包络归一化后取 Shannon 熵；频谱熵 H_f：平均幅度谱归一化后取 Shannon 熵。乘积 ∈[0,1]，越接近 1 表示各声源分布越均衡。</w:t>
      </w:r>
    </w:p>
    <w:p>
      <w:pPr>
        <w:spacing w:before="240" w:after="120"/>
      </w:pPr>
      <w:r>
        <w:rPr>
          <w:rFonts w:ascii="Times New Roman" w:hAnsi="Times New Roman" w:eastAsia="黑体"/>
          <w:b/>
          <w:i w:val="0"/>
          <w:color w:val="000000"/>
          <w:sz w:val="26"/>
        </w:rPr>
        <w:t>5.5 频带功率</w:t>
      </w:r>
    </w:p>
    <w:p>
      <w:pPr>
        <w:spacing w:before="120" w:after="120"/>
        <w:jc w:val="center"/>
      </w:pPr>
      <m:oMath>
        <m:r>
          <m:t>E(</m:t>
        </m:r>
        <m:sSub>
          <m:e>
            <m:r>
              <m:t>f</m:t>
            </m:r>
          </m:e>
          <m:sub>
            <m:r>
              <m:t>1</m:t>
            </m:r>
          </m:sub>
        </m:sSub>
        <m:r>
          <m:t>,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t>)=</m:t>
        </m:r>
        <m:nary>
          <m:naryPr>
            <m:chr m:val="∑"/>
            <m:limLoc m:val="subSup"/>
            <m:grow m:val="1"/>
            <m:subHide m:val="off"/>
            <m:supHide m:val="on"/>
          </m:naryPr>
          <m:sub>
            <m:r>
              <m:t>f∈[</m:t>
            </m:r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  <m:r>
              <m:t>,</m:t>
            </m:r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  <m:r>
              <m:t>]</m:t>
            </m:r>
          </m:sub>
          <m:sup/>
          <m:e>
            <m:nary>
              <m:naryPr>
                <m:chr m:val="∑"/>
                <m:limLoc m:val="subSup"/>
                <m:grow m:val="1"/>
                <m:subHide m:val="off"/>
                <m:supHide m:val="on"/>
              </m:naryPr>
              <m:sub>
                <m:r>
                  <m:t>t</m:t>
                </m:r>
              </m:sub>
              <m:sup/>
              <m:e>
                <m:sSup>
                  <m:e>
                    <m:d>
                      <m:dPr>
                        <m:begChr m:val="|"/>
                        <m:sepChr m:val=""/>
                        <m:endChr m:val="|"/>
                      </m:dPr>
                      <m:e>
                        <m:r>
                          <m:t>X</m:t>
                        </m:r>
                        <m:r>
                          <m:t>(</m:t>
                        </m:r>
                        <m:r>
                          <m:t>t</m:t>
                        </m:r>
                        <m:r>
                          <m:t>,</m:t>
                        </m:r>
                        <m:r>
                          <m:t>f</m:t>
                        </m:r>
                        <m:r>
                          <m:t>)</m:t>
                        </m:r>
                      </m:e>
                    </m:d>
                  </m:e>
                  <m:sup>
                    <m:r>
                      <m:t>2</m:t>
                    </m:r>
                  </m:sup>
                </m:sSup>
              </m:e>
            </m:nary>
          </m:e>
        </m:nary>
      </m:oMath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作为 NDSI、ADI、噪声估计共用的基础量。</w:t>
      </w:r>
    </w:p>
    <w:p>
      <w:pPr>
        <w:spacing w:before="360" w:after="200"/>
      </w:pPr>
      <w:r>
        <w:rPr>
          <w:rFonts w:ascii="Times New Roman" w:hAnsi="Times New Roman" w:eastAsia="黑体"/>
          <w:b/>
          <w:i w:val="0"/>
          <w:color w:val="000000"/>
          <w:sz w:val="32"/>
        </w:rPr>
        <w:t>六、人为噪声占比估计</w:t>
      </w:r>
    </w:p>
    <w:p>
      <w:pPr>
        <w:spacing w:before="120" w:after="120"/>
        <w:jc w:val="center"/>
      </w:pPr>
      <m:oMath>
        <m:r>
          <m:rPr>
            <m:sty m:val="p"/>
          </m:rPr>
          <m:t>noise</m:t>
        </m:r>
        <m:r>
          <m:t>=</m:t>
        </m:r>
        <m:d>
          <m:dPr>
            <m:begChr m:val="["/>
            <m:sepChr m:val="+"/>
            <m:endChr m:val="]"/>
          </m:dPr>
          <m:e>
            <m:r>
              <m:t>0.65</m:t>
            </m:r>
            <m:f>
              <m:fPr>
                <m:type m:val="bar"/>
              </m:fPr>
              <m:num>
                <m:sSub>
                  <m:e>
                    <m:r>
                      <m:t>E</m:t>
                    </m:r>
                  </m:e>
                  <m:sub>
                    <m:r>
                      <m:t>anthro</m:t>
                    </m:r>
                  </m:sub>
                </m:sSub>
              </m:num>
              <m:den>
                <m:sSub>
                  <m:e>
                    <m:r>
                      <m:t>E</m:t>
                    </m:r>
                  </m:e>
                  <m:sub>
                    <m:r>
                      <m:t>anthro</m:t>
                    </m:r>
                  </m:sub>
                </m:sSub>
                <m:r>
                  <m:t>+</m:t>
                </m:r>
                <m:sSub>
                  <m:e>
                    <m:r>
                      <m:t>E</m:t>
                    </m:r>
                  </m:e>
                  <m:sub>
                    <m:r>
                      <m:t>bio</m:t>
                    </m:r>
                  </m:sub>
                </m:sSub>
              </m:den>
            </m:f>
          </m:e>
          <m:e>
            <m:r>
              <m:t>0.35</m:t>
            </m:r>
            <m:d>
              <m:dPr>
                <m:sepChr m:val="−"/>
              </m:dPr>
              <m:e>
                <m:r>
                  <m:t>1</m:t>
                </m:r>
              </m:e>
              <m:e>
                <m:r>
                  <m:rPr>
                    <m:sty m:val="p"/>
                  </m:rPr>
                  <m:t>activity</m:t>
                </m:r>
              </m:e>
            </m:d>
          </m:e>
        </m:d>
        <m:r>
          <m:t>×100%</m:t>
        </m:r>
      </m:oMath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双信号融合：① 频谱比（1–2kHz 人为声带 vs 2–11kHz 生物声带的能量占比）；② 鸟声活动度（有鸟声 → 噪声低）。兼顾物理声谱与语义证据。</w:t>
      </w:r>
    </w:p>
    <w:p>
      <w:r>
        <w:br w:type="page"/>
      </w:r>
    </w:p>
    <w:p>
      <w:pPr>
        <w:spacing w:before="360" w:after="200"/>
      </w:pPr>
      <w:r>
        <w:rPr>
          <w:rFonts w:ascii="Times New Roman" w:hAnsi="Times New Roman" w:eastAsia="黑体"/>
          <w:b/>
          <w:i w:val="0"/>
          <w:color w:val="000000"/>
          <w:sz w:val="32"/>
        </w:rPr>
        <w:t>七、宜居度耦合模型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宜居度（0–100）由生物多样性维度 bio 与声环境质量维度 sound 加权合成：</w:t>
      </w:r>
    </w:p>
    <w:p>
      <w:pPr>
        <w:spacing w:before="120" w:after="120"/>
        <w:jc w:val="center"/>
      </w:pPr>
      <m:oMath>
        <m:r>
          <m:rPr>
            <m:sty m:val="p"/>
          </m:rPr>
          <m:t>score</m:t>
        </m:r>
        <m:r>
          <m:t>=0.55</m:t>
        </m:r>
        <m:r>
          <m:rPr>
            <m:sty m:val="p"/>
          </m:rPr>
          <m:t>bio</m:t>
        </m:r>
        <m:r>
          <m:t>+0.45</m:t>
        </m:r>
        <m:r>
          <m:rPr>
            <m:sty m:val="p"/>
          </m:rPr>
          <m:t>sound</m:t>
        </m:r>
      </m:oMath>
    </w:p>
    <w:p>
      <w:pPr>
        <w:spacing w:before="240" w:after="120"/>
      </w:pPr>
      <w:r>
        <w:rPr>
          <w:rFonts w:ascii="Times New Roman" w:hAnsi="Times New Roman" w:eastAsia="黑体"/>
          <w:b/>
          <w:i w:val="0"/>
          <w:color w:val="000000"/>
          <w:sz w:val="26"/>
        </w:rPr>
        <w:t>7.1 生物多样性维度 bio</w:t>
      </w:r>
    </w:p>
    <w:p>
      <w:pPr>
        <w:spacing w:before="120" w:after="120"/>
        <w:jc w:val="center"/>
      </w:pPr>
      <m:oMath>
        <m:r>
          <m:rPr>
            <m:sty m:val="p"/>
          </m:rPr>
          <m:t>bio</m:t>
        </m:r>
        <m:r>
          <m:t>=18+16</m:t>
        </m:r>
        <m:r>
          <m:rPr>
            <m:sty m:val="p"/>
          </m:rPr>
          <m:t>ln</m:t>
        </m:r>
        <m:r>
          <m:t>(1+</m:t>
        </m:r>
        <m:sSub>
          <m:e>
            <m:r>
              <m:t>n</m:t>
            </m:r>
          </m:e>
          <m:sub>
            <m:r>
              <m:t>sp</m:t>
            </m:r>
          </m:sub>
        </m:sSub>
        <m:r>
          <m:t>)+22</m:t>
        </m:r>
        <m:r>
          <m:rPr>
            <m:sty m:val="p"/>
          </m:rPr>
          <m:t>ADI</m:t>
        </m:r>
        <m:r>
          <m:t>+7</m:t>
        </m:r>
        <m:acc>
          <m:accPr>
            <m:chr m:val="―"/>
          </m:accPr>
          <m:e>
            <m:r>
              <m:t>conf</m:t>
            </m:r>
          </m:e>
        </m:acc>
        <m:r>
          <m:t>+3</m:t>
        </m:r>
        <m:r>
          <m:rPr>
            <m:sty m:val="p"/>
          </m:rPr>
          <m:t>activity</m:t>
        </m:r>
        <m:r>
          <m:t>−0.12</m:t>
        </m:r>
        <m:r>
          <m:rPr>
            <m:sty m:val="p"/>
          </m:rPr>
          <m:t>noise</m:t>
        </m:r>
      </m:oMath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n_sp：识别物种数（对数饱和）；ADI：声学多样性；conf̄：物种平均置信度；activity：鸟声活动度；noise：噪声占比（噪声掩蔽鸟声、压缩栖息空间，线性折减）。截断至 [0,100]。</w:t>
      </w:r>
    </w:p>
    <w:p>
      <w:pPr>
        <w:spacing w:before="240" w:after="120"/>
      </w:pPr>
      <w:r>
        <w:rPr>
          <w:rFonts w:ascii="Times New Roman" w:hAnsi="Times New Roman" w:eastAsia="黑体"/>
          <w:b/>
          <w:i w:val="0"/>
          <w:color w:val="000000"/>
          <w:sz w:val="26"/>
        </w:rPr>
        <w:t>7.2 声环境质量维度 sound</w:t>
      </w:r>
    </w:p>
    <w:p>
      <w:pPr>
        <w:spacing w:before="120" w:after="120"/>
        <w:jc w:val="center"/>
      </w:pPr>
      <m:oMath>
        <m:r>
          <m:rPr>
            <m:sty m:val="p"/>
          </m:rPr>
          <m:t>sound</m:t>
        </m:r>
        <m:r>
          <m:t>=10+30</m:t>
        </m:r>
        <m:f>
          <m:fPr>
            <m:type m:val="bar"/>
          </m:fPr>
          <m:num>
            <m:r>
              <m:rPr>
                <m:sty m:val="p"/>
              </m:rPr>
              <m:t>NDSI</m:t>
            </m:r>
            <m:r>
              <m:t>+1</m:t>
            </m:r>
          </m:num>
          <m:den>
            <m:r>
              <m:t>2</m:t>
            </m:r>
          </m:den>
        </m:f>
        <m:r>
          <m:t>+22</m:t>
        </m:r>
        <m:r>
          <m:t>H+18</m:t>
        </m:r>
        <m:d>
          <m:dPr>
            <m:sepChr m:val="−"/>
          </m:dPr>
          <m:e>
            <m:r>
              <m:t>1</m:t>
            </m:r>
          </m:e>
          <m:e>
            <m:f>
              <m:fPr>
                <m:type m:val="bar"/>
              </m:fPr>
              <m:num>
                <m:r>
                  <m:rPr>
                    <m:sty m:val="p"/>
                  </m:rPr>
                  <m:t>noise</m:t>
                </m:r>
              </m:num>
              <m:den>
                <m:r>
                  <m:t>100</m:t>
                </m:r>
              </m:den>
            </m:f>
          </m:e>
        </m:d>
      </m:oMath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NDSI（归一化声景）、H（声学熵）、noise（噪声）三项耦合，截断至 [0,100]。</w:t>
      </w:r>
    </w:p>
    <w:p>
      <w:pPr>
        <w:spacing w:before="240" w:after="120"/>
      </w:pPr>
      <w:r>
        <w:rPr>
          <w:rFonts w:ascii="Times New Roman" w:hAnsi="Times New Roman" w:eastAsia="黑体"/>
          <w:b/>
          <w:i w:val="0"/>
          <w:color w:val="000000"/>
          <w:sz w:val="26"/>
        </w:rPr>
        <w:t>7.3 等级阈值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score ≥ 70 → 宜居（Good）；50 ≤ score &lt; 70 → 一般（Moderate）；score &lt; 50 → 受压（Stressed）。</w:t>
      </w:r>
    </w:p>
    <w:p>
      <w:pPr>
        <w:spacing w:before="240" w:after="120"/>
      </w:pPr>
      <w:r>
        <w:rPr>
          <w:rFonts w:ascii="Times New Roman" w:hAnsi="Times New Roman" w:eastAsia="黑体"/>
          <w:b/>
          <w:i w:val="0"/>
          <w:color w:val="000000"/>
          <w:sz w:val="26"/>
        </w:rPr>
        <w:t>7.4 置信度合成</w:t>
      </w:r>
    </w:p>
    <w:p>
      <w:pPr>
        <w:spacing w:before="120" w:after="120"/>
        <w:jc w:val="center"/>
      </w:pPr>
      <m:oMath>
        <m:r>
          <m:rPr>
            <m:sty m:val="p"/>
          </m:rPr>
          <m:t>confidence</m:t>
        </m:r>
        <m:r>
          <m:t>=0.35</m:t>
        </m:r>
        <m:r>
          <m:rPr>
            <m:sty m:val="p"/>
          </m:rPr>
          <m:t>activity</m:t>
        </m:r>
        <m:r>
          <m:t>+0.30</m:t>
        </m:r>
        <m:acc>
          <m:accPr>
            <m:chr m:val="―"/>
          </m:accPr>
          <m:e>
            <m:r>
              <m:t>conf</m:t>
            </m:r>
          </m:e>
        </m:acc>
        <m:r>
          <m:t>+0.20</m:t>
        </m:r>
        <m:r>
          <m:t>min</m:t>
        </m:r>
        <m:d>
          <m:dPr>
            <m:sepChr m:val=","/>
          </m:dPr>
          <m:e>
            <m:r>
              <m:t>1</m:t>
            </m:r>
          </m:e>
          <m:e>
            <m:f>
              <m:fPr>
                <m:type m:val="bar"/>
              </m:fPr>
              <m:num>
                <m:sSub>
                  <m:e>
                    <m:r>
                      <m:t>n</m:t>
                    </m:r>
                  </m:e>
                  <m:sub>
                    <m:r>
                      <m:t>sp</m:t>
                    </m:r>
                  </m:sub>
                </m:sSub>
              </m:num>
              <m:den>
                <m:r>
                  <m:t>3</m:t>
                </m:r>
              </m:den>
            </m:f>
          </m:e>
        </m:d>
        <m:r>
          <m:t>+0.15</m:t>
        </m:r>
        <m:r>
          <m:t>min</m:t>
        </m:r>
        <m:d>
          <m:dPr>
            <m:sepChr m:val=","/>
          </m:dPr>
          <m:e>
            <m:r>
              <m:t>1</m:t>
            </m:r>
          </m:e>
          <m:e>
            <m:f>
              <m:fPr>
                <m:type m:val="bar"/>
              </m:fPr>
              <m:num>
                <m:r>
                  <m:t>dur</m:t>
                </m:r>
              </m:num>
              <m:den>
                <m:r>
                  <m:t>30</m:t>
                </m:r>
              </m:den>
            </m:f>
          </m:e>
        </m:d>
      </m:oMath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四路输入：鸟声活动度、识别平均置信度、物种证据充分度（3 种封顶）、采样时长充分度（30s 封顶）。置信度标签：≥0.6 高 / ≥0.4 中 / &lt;0.4 低。</w:t>
      </w:r>
    </w:p>
    <w:p>
      <w:pPr>
        <w:spacing w:before="360" w:after="200"/>
      </w:pPr>
      <w:r>
        <w:rPr>
          <w:rFonts w:ascii="Times New Roman" w:hAnsi="Times New Roman" w:eastAsia="黑体"/>
          <w:b/>
          <w:i w:val="0"/>
          <w:color w:val="000000"/>
          <w:sz w:val="32"/>
        </w:rPr>
        <w:t>八、时间热力图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将 STFT 幅度谱按时间 × 频段分箱映射为 4×12 网格（4 个频段 × 12 个时间片），颜色编码能量强度，供用户直观理解「何时、哪个频段有鸟声」；该矩阵同样存储于分析结果，作为展示型数据（非科学计算主路径）。</w:t>
      </w:r>
    </w:p>
    <w:p>
      <w:r>
        <w:br w:type="page"/>
      </w:r>
    </w:p>
    <w:p>
      <w:pPr>
        <w:spacing w:before="360" w:after="200"/>
      </w:pPr>
      <w:r>
        <w:rPr>
          <w:rFonts w:ascii="Times New Roman" w:hAnsi="Times New Roman" w:eastAsia="黑体"/>
          <w:b/>
          <w:i w:val="0"/>
          <w:color w:val="000000"/>
          <w:sz w:val="32"/>
        </w:rPr>
        <w:t>九、公共地图系统</w:t>
      </w:r>
    </w:p>
    <w:p>
      <w:pPr>
        <w:spacing w:before="240" w:after="120"/>
      </w:pPr>
      <w:r>
        <w:rPr>
          <w:rFonts w:ascii="Times New Roman" w:hAnsi="Times New Roman" w:eastAsia="黑体"/>
          <w:b/>
          <w:i w:val="0"/>
          <w:color w:val="000000"/>
          <w:sz w:val="26"/>
        </w:rPr>
        <w:t>9.1 聚合键 cluster_key</w:t>
      </w:r>
    </w:p>
    <w:p>
      <w:pPr>
        <w:spacing w:before="120" w:after="120"/>
        <w:jc w:val="center"/>
      </w:pPr>
      <m:oMath>
        <m:r>
          <m:rPr>
            <m:sty m:val="p"/>
          </m:rPr>
          <m:t>cluster_key</m:t>
        </m:r>
        <m:r>
          <m:t>=</m:t>
        </m:r>
        <m:r>
          <m:rPr>
            <m:sty m:val="p"/>
          </m:rPr>
          <m:t>region_name</m:t>
        </m:r>
        <m:r>
          <m:t>∣</m:t>
        </m:r>
        <m:r>
          <m:rPr>
            <m:sty m:val="p"/>
          </m:rPr>
          <m:t>grid_hash</m:t>
        </m:r>
        <m:r>
          <m:t>(lat,</m:t>
        </m:r>
        <m:r>
          <m:t>lng)</m:t>
        </m:r>
      </m:oMath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同一地区名 + 相近坐标（网格哈希）的记录自动聚合成一个聚合点；同点多次采样保留为多条样本（支持趋势分析）。</w:t>
      </w:r>
    </w:p>
    <w:p>
      <w:pPr>
        <w:spacing w:before="240" w:after="120"/>
      </w:pPr>
      <w:r>
        <w:rPr>
          <w:rFonts w:ascii="Times New Roman" w:hAnsi="Times New Roman" w:eastAsia="黑体"/>
          <w:b/>
          <w:i w:val="0"/>
          <w:color w:val="000000"/>
          <w:sz w:val="26"/>
        </w:rPr>
        <w:t>9.2 加权聚合</w:t>
      </w:r>
    </w:p>
    <w:p>
      <w:pPr>
        <w:spacing w:before="120" w:after="120"/>
        <w:jc w:val="center"/>
      </w:pPr>
      <m:oMath>
        <m:r>
          <m:rPr>
            <m:sty m:val="p"/>
          </m:rPr>
          <m:t>score</m:t>
        </m:r>
        <m:r>
          <m:t>=</m:t>
        </m:r>
        <m:f>
          <m:fPr>
            <m:type m:val="bar"/>
          </m:fPr>
          <m:num>
            <m:nary>
              <m:naryPr>
                <m:chr m:val="∑"/>
                <m:limLoc m:val="subSup"/>
                <m:grow m:val="1"/>
                <m:subHide m:val="off"/>
                <m:supHide m:val="on"/>
              </m:naryPr>
              <m:sub>
                <m:r>
                  <m:t>i</m:t>
                </m:r>
              </m:sub>
              <m:sup/>
              <m:e>
                <m:sSub>
                  <m:e>
                    <m:r>
                      <m:rPr>
                        <m:sty m:val="p"/>
                      </m:rPr>
                      <m:t>score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r>
              <m:t>·max(</m:t>
            </m:r>
            <m:sSub>
              <m:e>
                <m:r>
                  <m:rPr>
                    <m:sty m:val="p"/>
                  </m:rPr>
                  <m:t>conf</m:t>
                </m:r>
              </m:e>
              <m:sub>
                <m:r>
                  <m:t>i</m:t>
                </m:r>
              </m:sub>
            </m:sSub>
            <m:r>
              <m:t>,</m:t>
            </m:r>
            <m:r>
              <m:t>ε)</m:t>
            </m:r>
          </m:num>
          <m:den>
            <m:nary>
              <m:naryPr>
                <m:chr m:val="∑"/>
                <m:limLoc m:val="subSup"/>
                <m:grow m:val="1"/>
                <m:subHide m:val="off"/>
                <m:supHide m:val="on"/>
              </m:naryPr>
              <m:sub>
                <m:r>
                  <m:t>i</m:t>
                </m:r>
              </m:sub>
              <m:sup/>
              <m:e>
                <m:r>
                  <m:t>max(</m:t>
                </m:r>
              </m:e>
            </m:nary>
            <m:sSub>
              <m:e>
                <m:r>
                  <m:rPr>
                    <m:sty m:val="p"/>
                  </m:rPr>
                  <m:t>conf</m:t>
                </m:r>
              </m:e>
              <m:sub>
                <m:r>
                  <m:t>i</m:t>
                </m:r>
              </m:sub>
            </m:sSub>
            <m:r>
              <m:t>,</m:t>
            </m:r>
            <m:r>
              <m:t>ε)</m:t>
            </m:r>
          </m:den>
        </m:f>
        <m:r>
          <m:t>,</m:t>
        </m:r>
        <m:r>
          <m:t>ε=0.01</m:t>
        </m:r>
      </m:oMath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以置信度为权重的加权宜居度均值（低置信度记录权重被压缩）；confidenceAvg 为算术均值；scoreMin/scoreMax 取样本极值；n 为样本数。</w:t>
      </w:r>
    </w:p>
    <w:p>
      <w:pPr>
        <w:spacing w:before="240" w:after="120"/>
      </w:pPr>
      <w:r>
        <w:rPr>
          <w:rFonts w:ascii="Times New Roman" w:hAnsi="Times New Roman" w:eastAsia="黑体"/>
          <w:b/>
          <w:i w:val="0"/>
          <w:color w:val="000000"/>
          <w:sz w:val="26"/>
        </w:rPr>
        <w:t>9.3 确定性坐标模糊（隐私）</w:t>
      </w:r>
    </w:p>
    <w:p>
      <w:pPr>
        <w:spacing w:before="120" w:after="120"/>
        <w:jc w:val="center"/>
      </w:pPr>
      <m:oMath>
        <m:r>
          <m:t>Δ=</m:t>
        </m:r>
        <m:r>
          <m:rPr>
            <m:sty m:val="p"/>
          </m:rPr>
          <m:t>sha</m:t>
        </m:r>
        <m:r>
          <m:t>256</m:t>
        </m:r>
        <m:r>
          <m:t>(</m:t>
        </m:r>
        <m:r>
          <m:rPr>
            <m:sty m:val="p"/>
          </m:rPr>
          <m:t>key</m:t>
        </m:r>
        <m:r>
          <m:t>)[0:8]⇒</m:t>
        </m:r>
        <m:sSub>
          <m:e>
            <m:r>
              <m:t>r</m:t>
            </m:r>
          </m:e>
          <m:sub>
            <m:r>
              <m:t>1</m:t>
            </m:r>
          </m:sub>
        </m:sSub>
        <m:r>
          <m:t>,</m:t>
        </m:r>
        <m:sSub>
          <m:e>
            <m:r>
              <m:t>r</m:t>
            </m:r>
          </m:e>
          <m:sub>
            <m:r>
              <m:t>2</m:t>
            </m:r>
          </m:sub>
        </m:sSub>
        <m:r>
          <m:t>∈[0,1)</m:t>
        </m:r>
      </m:oMath>
    </w:p>
    <w:p>
      <w:pPr>
        <w:spacing w:before="120" w:after="120"/>
        <w:jc w:val="center"/>
      </w:pPr>
      <m:oMath>
        <m:r>
          <m:t>la</m:t>
        </m:r>
        <m:sSup>
          <m:e>
            <m:r>
              <m:t>t</m:t>
            </m:r>
          </m:e>
          <m:sup>
            <m:r>
              <m:t>′</m:t>
            </m:r>
          </m:sup>
        </m:sSup>
        <m:r>
          <m:t>=lat+(</m:t>
        </m:r>
        <m:sSub>
          <m:e>
            <m:r>
              <m:t>r</m:t>
            </m:r>
          </m:e>
          <m:sub>
            <m:r>
              <m:t>1</m:t>
            </m:r>
          </m:sub>
        </m:sSub>
        <m:r>
          <m:t>−0.5)·2J,</m:t>
        </m:r>
        <m:r>
          <m:t>ln</m:t>
        </m:r>
        <m:sSup>
          <m:e>
            <m:r>
              <m:t>g</m:t>
            </m:r>
          </m:e>
          <m:sup>
            <m:r>
              <m:t>′</m:t>
            </m:r>
          </m:sup>
        </m:sSup>
        <m:r>
          <m:t>=lng+(</m:t>
        </m:r>
        <m:sSub>
          <m:e>
            <m:r>
              <m:t>r</m:t>
            </m:r>
          </m:e>
          <m:sub>
            <m:r>
              <m:t>2</m:t>
            </m:r>
          </m:sub>
        </m:sSub>
        <m:r>
          <m:t>−0.5)·2J,</m:t>
        </m:r>
        <m:r>
          <m:t>J≈±250m</m:t>
        </m:r>
      </m:oMath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同一 key 每次结果一致（刷新不抖动）；模糊量 ≤ ±250m，精确采样位置不可逆。</w:t>
      </w:r>
    </w:p>
    <w:p>
      <w:pPr>
        <w:spacing w:before="240" w:after="120"/>
      </w:pPr>
      <w:r>
        <w:rPr>
          <w:rFonts w:ascii="Times New Roman" w:hAnsi="Times New Roman" w:eastAsia="黑体"/>
          <w:b/>
          <w:i w:val="0"/>
          <w:color w:val="000000"/>
          <w:sz w:val="26"/>
        </w:rPr>
        <w:t>9.4 隐私设计清单</w:t>
      </w:r>
    </w:p>
    <w:p>
      <w:pPr>
        <w:pStyle w:val="ListBullet"/>
        <w:spacing w:line="360" w:lineRule="auto" w:after="40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公共接口不返回精确坐标（仅模糊后 lat/lng）与用户 ID；</w:t>
      </w:r>
    </w:p>
    <w:p>
      <w:pPr>
        <w:pStyle w:val="ListBullet"/>
        <w:spacing w:line="360" w:lineRule="auto" w:after="40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样本仅公开：匿名昵称 + 日期（到天）+ 评分 + 噪声 + 鸟种；</w:t>
      </w:r>
    </w:p>
    <w:p>
      <w:pPr>
        <w:pStyle w:val="ListBullet"/>
        <w:spacing w:line="360" w:lineRule="auto" w:after="40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删除需登录且本人校验（user_id 匹配），他人 403。</w:t>
      </w:r>
    </w:p>
    <w:p>
      <w:pPr>
        <w:spacing w:before="360" w:after="200"/>
      </w:pPr>
      <w:r>
        <w:rPr>
          <w:rFonts w:ascii="Times New Roman" w:hAnsi="Times New Roman" w:eastAsia="黑体"/>
          <w:b/>
          <w:i w:val="0"/>
          <w:color w:val="000000"/>
          <w:sz w:val="32"/>
        </w:rPr>
        <w:t>十、数据看板与统计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GET /api/public/stats 聚合输出：</w:t>
      </w:r>
    </w:p>
    <w:p>
      <w:pPr>
        <w:pStyle w:val="ListBullet"/>
        <w:spacing w:line="360" w:lineRule="auto" w:after="40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totalSamples（总样本）、totalClusters（聚合点数）、activeUsers（活跃用户）、totalSpecies（识别鸟种数）；</w:t>
      </w:r>
    </w:p>
    <w:p>
      <w:pPr>
        <w:pStyle w:val="ListBullet"/>
        <w:spacing w:line="360" w:lineRule="auto" w:after="40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scoreAvg：置信度加权宜居度均值（与聚合口径一致）；</w:t>
      </w:r>
    </w:p>
    <w:p>
      <w:pPr>
        <w:pStyle w:val="ListBullet"/>
        <w:spacing w:line="360" w:lineRule="auto" w:after="40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buckets：宜居/一般/受压三档计数；</w:t>
      </w:r>
    </w:p>
    <w:p>
      <w:pPr>
        <w:pStyle w:val="ListBullet"/>
        <w:spacing w:line="360" w:lineRule="auto" w:after="40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speciesTop：跨样本物种出现次数 Top10；regionTop：按地区汇总样本数 Top10。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物种分布筛选：clusters 接口支持 species 参数，只聚合含该物种的记录（分布热力）。</w:t>
      </w:r>
    </w:p>
    <w:p>
      <w:pPr>
        <w:spacing w:before="360" w:after="200"/>
      </w:pPr>
      <w:r>
        <w:rPr>
          <w:rFonts w:ascii="Times New Roman" w:hAnsi="Times New Roman" w:eastAsia="黑体"/>
          <w:b/>
          <w:i w:val="0"/>
          <w:color w:val="000000"/>
          <w:sz w:val="32"/>
        </w:rPr>
        <w:t>十一、生态简报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GET /api/public/clusters/{id}/report 生成地区生态报告：</w:t>
      </w:r>
    </w:p>
    <w:p>
      <w:pPr>
        <w:pStyle w:val="ListBullet"/>
        <w:spacing w:line="360" w:lineRule="auto" w:after="40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LLM 模式：配置 LLM_API_KEY（默认智谱 glm-4-flash，可换通义/DeepSeek），将聚合统计（评分/噪声/物种 Top/趋势）注入提示词，返回 Markdown 报告；</w:t>
      </w:r>
    </w:p>
    <w:p>
      <w:pPr>
        <w:pStyle w:val="ListBullet"/>
        <w:spacing w:line="360" w:lineRule="auto" w:after="40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模板降级：无 Key 或调用失败 → 规则模板自动生成（含地区名、评分、三档结论、物种 Top 等），功能永不阻塞。</w:t>
      </w:r>
    </w:p>
    <w:p>
      <w:pPr>
        <w:spacing w:before="360" w:after="200"/>
      </w:pPr>
      <w:r>
        <w:rPr>
          <w:rFonts w:ascii="Times New Roman" w:hAnsi="Times New Roman" w:eastAsia="黑体"/>
          <w:b/>
          <w:i w:val="0"/>
          <w:color w:val="000000"/>
          <w:sz w:val="32"/>
        </w:rPr>
        <w:t>十二、账号与云同步</w:t>
      </w:r>
    </w:p>
    <w:p>
      <w:pPr>
        <w:pStyle w:val="ListBullet"/>
        <w:spacing w:line="360" w:lineRule="auto" w:after="40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鉴权：注册/登录发放 Bearer Token（auth_tokens 表），请求头 Authorization 校验；</w:t>
      </w:r>
    </w:p>
    <w:p>
      <w:pPr>
        <w:pStyle w:val="ListBullet"/>
        <w:spacing w:line="360" w:lineRule="auto" w:after="40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修改密码：改密后删除该用户全部 Token（强制下线所有设备）；</w:t>
      </w:r>
    </w:p>
    <w:p>
      <w:pPr>
        <w:pStyle w:val="ListBullet"/>
        <w:spacing w:line="360" w:lineRule="auto" w:after="40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云备份：user_backups 表（user_id 主键单行），POST/GET /api/sync/backup，payload ≤2MB，账号间隔离；</w:t>
      </w:r>
    </w:p>
    <w:p>
      <w:pPr>
        <w:pStyle w:val="ListBullet"/>
        <w:spacing w:line="360" w:lineRule="auto" w:after="40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本地数据范围：history（分析历史）、regions（地区记录）、analysis 快照、批次结果；</w:t>
      </w:r>
    </w:p>
    <w:p>
      <w:pPr>
        <w:pStyle w:val="ListBullet"/>
        <w:spacing w:line="360" w:lineRule="auto" w:after="40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recordedAt 回填：上传接口支持可选 recordedAt（演示/数据迁移），App 正常上传不传（服务端当前时间）。</w:t>
      </w:r>
    </w:p>
    <w:p>
      <w:r>
        <w:br w:type="page"/>
      </w:r>
    </w:p>
    <w:p>
      <w:pPr>
        <w:spacing w:before="360" w:after="200"/>
      </w:pPr>
      <w:r>
        <w:rPr>
          <w:rFonts w:ascii="Times New Roman" w:hAnsi="Times New Roman" w:eastAsia="黑体"/>
          <w:b/>
          <w:i w:val="0"/>
          <w:color w:val="000000"/>
          <w:sz w:val="32"/>
        </w:rPr>
        <w:t>十三、前端 App 架构</w:t>
      </w:r>
    </w:p>
    <w:p>
      <w:pPr>
        <w:spacing w:before="240" w:after="120"/>
      </w:pPr>
      <w:r>
        <w:rPr>
          <w:rFonts w:ascii="Times New Roman" w:hAnsi="Times New Roman" w:eastAsia="黑体"/>
          <w:b/>
          <w:i w:val="0"/>
          <w:color w:val="000000"/>
          <w:sz w:val="26"/>
        </w:rPr>
        <w:t>13.1 技术结构</w:t>
      </w:r>
    </w:p>
    <w:p>
      <w:pPr>
        <w:pStyle w:val="ListBullet"/>
        <w:spacing w:line="360" w:lineRule="auto" w:after="40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React 18 + Vite 5 + Tailwind CSS，组件化开发，Android Kotlin WebView 套壳（含文件选择、录音权限）；</w:t>
      </w:r>
    </w:p>
    <w:p>
      <w:pPr>
        <w:pStyle w:val="ListBullet"/>
        <w:spacing w:line="360" w:lineRule="auto" w:after="40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状态管理：Context + useReducer（appStore），支持 BACK/GO 路由、Toast、持久化；</w:t>
      </w:r>
    </w:p>
    <w:p>
      <w:pPr>
        <w:pStyle w:val="ListBullet"/>
        <w:spacing w:line="360" w:lineRule="auto" w:after="40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数据层：repository 统一出口，mockData 与 apiService 双实现，VITE_USE_MOCK 切换演示/真实模式；</w:t>
      </w:r>
    </w:p>
    <w:p>
      <w:pPr>
        <w:pStyle w:val="ListBullet"/>
        <w:spacing w:line="360" w:lineRule="auto" w:after="40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本地存储：localStorage（history/regions/batches），启动水合避免覆盖（skipFirstPersist）。</w:t>
      </w:r>
    </w:p>
    <w:p>
      <w:pPr>
        <w:spacing w:before="240" w:after="120"/>
      </w:pPr>
      <w:r>
        <w:rPr>
          <w:rFonts w:ascii="Times New Roman" w:hAnsi="Times New Roman" w:eastAsia="黑体"/>
          <w:b/>
          <w:i w:val="0"/>
          <w:color w:val="000000"/>
          <w:sz w:val="26"/>
        </w:rPr>
        <w:t>13.2 数据契约守护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frontend/tests/dataContract.test.js 守护字段契约（species/indices/livability/heatmap/mapPoints/history），前端 mock 与后端响应结构不一致时测试立即失败，保证双数据源口径一致。</w:t>
      </w:r>
    </w:p>
    <w:p>
      <w:pPr>
        <w:spacing w:before="240" w:after="120"/>
      </w:pPr>
      <w:r>
        <w:rPr>
          <w:rFonts w:ascii="Times New Roman" w:hAnsi="Times New Roman" w:eastAsia="黑体"/>
          <w:b/>
          <w:i w:val="0"/>
          <w:color w:val="000000"/>
          <w:sz w:val="26"/>
        </w:rPr>
        <w:t>13.3 页面清单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首页 / 录音（实时+导入）/ 分析中 / 结果 / 物种清单 / 声学指数 / 时间热力图 / 宜居度详情 / 地区记录 / 地图（选点）/ 鸟种图鉴（121 种）/ 登录 / 设置 / 使用说明 / 样例音频 / 方法学。</w:t>
      </w:r>
    </w:p>
    <w:p>
      <w:pPr>
        <w:spacing w:before="360" w:after="200"/>
      </w:pPr>
      <w:r>
        <w:rPr>
          <w:rFonts w:ascii="Times New Roman" w:hAnsi="Times New Roman" w:eastAsia="黑体"/>
          <w:b/>
          <w:i w:val="0"/>
          <w:color w:val="000000"/>
          <w:sz w:val="32"/>
        </w:rPr>
        <w:t>十四、公共地图网页</w:t>
      </w:r>
    </w:p>
    <w:p>
      <w:pPr>
        <w:pStyle w:val="ListBullet"/>
        <w:spacing w:line="360" w:lineRule="auto" w:after="40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MapLibre GL 渲染，高德栅格瓦片经后端 /api/tiles/* 代理（避免跨域与 Key 暴露）；</w:t>
      </w:r>
    </w:p>
    <w:p>
      <w:pPr>
        <w:pStyle w:val="ListBullet"/>
        <w:spacing w:line="360" w:lineRule="auto" w:after="40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聚合点 circle 层：颜色按宜居度渐变（&lt;50 红、50-70 琥珀、≥70 绿），半径按 sqrt(n) 缩放；</w:t>
      </w:r>
    </w:p>
    <w:p>
      <w:pPr>
        <w:pStyle w:val="ListBullet"/>
        <w:spacing w:line="360" w:lineRule="auto" w:after="40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面板体系：图鉴 / 对比 / 趋势 / 简报 / 看板 / Top10 / 分享；</w:t>
      </w:r>
    </w:p>
    <w:p>
      <w:pPr>
        <w:pStyle w:val="ListBullet"/>
        <w:spacing w:line="360" w:lineRule="auto" w:after="40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导出：聚合 CSV + 明细 CSV（UTF-8 BOM，8 列全维度）；</w:t>
      </w:r>
    </w:p>
    <w:p>
      <w:pPr>
        <w:pStyle w:val="ListBullet"/>
        <w:spacing w:line="360" w:lineRule="auto" w:after="40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移动端：@media(max-width:700px) 全量自适应。</w:t>
      </w:r>
    </w:p>
    <w:p>
      <w:r>
        <w:br w:type="page"/>
      </w:r>
    </w:p>
    <w:p>
      <w:pPr>
        <w:spacing w:before="360" w:after="200"/>
      </w:pPr>
      <w:r>
        <w:rPr>
          <w:rFonts w:ascii="Times New Roman" w:hAnsi="Times New Roman" w:eastAsia="黑体"/>
          <w:b/>
          <w:i w:val="0"/>
          <w:color w:val="000000"/>
          <w:sz w:val="32"/>
        </w:rPr>
        <w:t>十五、部署与运维</w:t>
      </w:r>
    </w:p>
    <w:p>
      <w:pPr>
        <w:pStyle w:val="ListBullet"/>
        <w:spacing w:line="360" w:lineRule="auto" w:after="40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生产环境：阿里云轻量应用服务器（2C2G，Alibaba Cloud Linux 3），容器化部署（podman-docker 兼容层）；</w:t>
      </w:r>
    </w:p>
    <w:p>
      <w:pPr>
        <w:pStyle w:val="ListBullet"/>
        <w:spacing w:line="360" w:lineRule="auto" w:after="40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数据持久化：Docker 命名卷 /app/data（SQLite 文件 + 模型），容器重建数据不丢；</w:t>
      </w:r>
    </w:p>
    <w:p>
      <w:pPr>
        <w:pStyle w:val="ListBullet"/>
        <w:spacing w:line="360" w:lineRule="auto" w:after="40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更新机制：服务器 /root/update.sh（备份 db → 拉新镜像 → 重建容器 → healthz 校验）；</w:t>
      </w:r>
    </w:p>
    <w:p>
      <w:pPr>
        <w:pStyle w:val="ListBullet"/>
        <w:spacing w:line="360" w:lineRule="auto" w:after="40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HTTPS：nginx 反代 8000（域名 caurmosi.top，Let’s Encrypt 证书，acme.sh + 阿里云 DNS hook 全自动续期）；</w:t>
      </w:r>
    </w:p>
    <w:p>
      <w:pPr>
        <w:pStyle w:val="ListBullet"/>
        <w:spacing w:line="360" w:lineRule="auto" w:after="40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镜像构建：GitHub Actions 推送 ghcr.io，后端镜像 + Android APK 自动打包；</w:t>
      </w:r>
    </w:p>
    <w:p>
      <w:pPr>
        <w:pStyle w:val="ListBullet"/>
        <w:spacing w:line="360" w:lineRule="auto" w:after="40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生产统一：App / 公共网页 API_BASE 均指向 https://caurmosi.top（Sealos 已退役）。</w:t>
      </w:r>
    </w:p>
    <w:p>
      <w:pPr>
        <w:spacing w:before="360" w:after="200"/>
      </w:pPr>
      <w:r>
        <w:rPr>
          <w:rFonts w:ascii="Times New Roman" w:hAnsi="Times New Roman" w:eastAsia="黑体"/>
          <w:b/>
          <w:i w:val="0"/>
          <w:color w:val="000000"/>
          <w:sz w:val="32"/>
        </w:rPr>
        <w:t>十六、测试与质量保障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1701"/>
            <w:tcBorders>
              <w:top w:val="single" w:sz="12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20"/>
              </w:rPr>
              <w:t>层级</w:t>
            </w:r>
          </w:p>
        </w:tc>
        <w:tc>
          <w:tcPr>
            <w:tcW w:type="dxa" w:w="2041"/>
            <w:tcBorders>
              <w:top w:val="single" w:sz="12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20"/>
              </w:rPr>
              <w:t>工具</w:t>
            </w:r>
          </w:p>
        </w:tc>
        <w:tc>
          <w:tcPr>
            <w:tcW w:type="dxa" w:w="1361"/>
            <w:tcBorders>
              <w:top w:val="single" w:sz="12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20"/>
              </w:rPr>
              <w:t>规模</w:t>
            </w:r>
          </w:p>
        </w:tc>
        <w:tc>
          <w:tcPr>
            <w:tcW w:type="dxa" w:w="1928"/>
            <w:tcBorders>
              <w:top w:val="single" w:sz="12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20"/>
              </w:rPr>
              <w:t>覆盖</w:t>
            </w:r>
          </w:p>
        </w:tc>
      </w:tr>
      <w:tr>
        <w:tc>
          <w:tcPr>
            <w:tcW w:type="dxa" w:w="1701"/>
            <w:tcBorders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后端单元/集成</w:t>
            </w:r>
          </w:p>
        </w:tc>
        <w:tc>
          <w:tcPr>
            <w:tcW w:type="dxa" w:w="2041"/>
            <w:tcBorders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pytest + FastAPI TestClient</w:t>
            </w:r>
          </w:p>
        </w:tc>
        <w:tc>
          <w:tcPr>
            <w:tcW w:type="dxa" w:w="1361"/>
            <w:tcBorders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124 用例全绿</w:t>
            </w:r>
          </w:p>
        </w:tc>
        <w:tc>
          <w:tcPr>
            <w:tcW w:type="dxa" w:w="1928"/>
            <w:tcBorders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识别、指数、宜居度、聚合、隐私、统计、同步、鉴权</w:t>
            </w:r>
          </w:p>
        </w:tc>
      </w:tr>
      <w:tr>
        <w:tc>
          <w:tcPr>
            <w:tcW w:type="dxa" w:w="1701"/>
            <w:tcBorders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前端单元</w:t>
            </w:r>
          </w:p>
        </w:tc>
        <w:tc>
          <w:tcPr>
            <w:tcW w:type="dxa" w:w="2041"/>
            <w:tcBorders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node --test</w:t>
            </w:r>
          </w:p>
        </w:tc>
        <w:tc>
          <w:tcPr>
            <w:tcW w:type="dxa" w:w="1361"/>
            <w:tcBorders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347 用例全绿</w:t>
            </w:r>
          </w:p>
        </w:tc>
        <w:tc>
          <w:tcPr>
            <w:tcW w:type="dxa" w:w="1928"/>
            <w:tcBorders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reducer、契约、联动、导出、本地化</w:t>
            </w:r>
          </w:p>
        </w:tc>
      </w:tr>
      <w:tr>
        <w:tc>
          <w:tcPr>
            <w:tcW w:type="dxa" w:w="1701"/>
            <w:tcBorders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数据契约</w:t>
            </w:r>
          </w:p>
        </w:tc>
        <w:tc>
          <w:tcPr>
            <w:tcW w:type="dxa" w:w="2041"/>
            <w:tcBorders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dataContract.test.js</w:t>
            </w:r>
          </w:p>
        </w:tc>
        <w:tc>
          <w:tcPr>
            <w:tcW w:type="dxa" w:w="1361"/>
            <w:tcBorders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守护字段结构</w:t>
            </w:r>
          </w:p>
        </w:tc>
        <w:tc>
          <w:tcPr>
            <w:tcW w:type="dxa" w:w="1928"/>
            <w:tcBorders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mock 与真实 API 口径一致</w:t>
            </w:r>
          </w:p>
        </w:tc>
      </w:tr>
      <w:tr>
        <w:tc>
          <w:tcPr>
            <w:tcW w:type="dxa" w:w="1701"/>
            <w:tcBorders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算法校准</w:t>
            </w:r>
          </w:p>
        </w:tc>
        <w:tc>
          <w:tcPr>
            <w:tcW w:type="dxa" w:w="2041"/>
            <w:tcBorders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test_indices.py</w:t>
            </w:r>
          </w:p>
        </w:tc>
        <w:tc>
          <w:tcPr>
            <w:tcW w:type="dxa" w:w="1361"/>
            <w:tcBorders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锚点回归</w:t>
            </w:r>
          </w:p>
        </w:tc>
        <w:tc>
          <w:tcPr>
            <w:tcW w:type="dxa" w:w="1928"/>
            <w:tcBorders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好/差样地评分区间</w:t>
            </w:r>
          </w:p>
        </w:tc>
      </w:tr>
      <w:tr>
        <w:tc>
          <w:tcPr>
            <w:tcW w:type="dxa" w:w="1701"/>
            <w:tcBorders>
              <w:bottom w:val="single" w:sz="12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E2E 验证</w:t>
            </w:r>
          </w:p>
        </w:tc>
        <w:tc>
          <w:tcPr>
            <w:tcW w:type="dxa" w:w="2041"/>
            <w:tcBorders>
              <w:bottom w:val="single" w:sz="12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curl + 公网实测</w:t>
            </w:r>
          </w:p>
        </w:tc>
        <w:tc>
          <w:tcPr>
            <w:tcW w:type="dxa" w:w="1361"/>
            <w:tcBorders>
              <w:bottom w:val="single" w:sz="12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部署后</w:t>
            </w:r>
          </w:p>
        </w:tc>
        <w:tc>
          <w:tcPr>
            <w:tcW w:type="dxa" w:w="1928"/>
            <w:tcBorders>
              <w:bottom w:val="single" w:sz="12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indices/tiles/login/clusters/export 全通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360" w:after="200"/>
      </w:pPr>
      <w:r>
        <w:rPr>
          <w:rFonts w:ascii="Times New Roman" w:hAnsi="Times New Roman" w:eastAsia="黑体"/>
          <w:b/>
          <w:i w:val="0"/>
          <w:color w:val="000000"/>
          <w:sz w:val="32"/>
        </w:rPr>
        <w:t>十七、参考文献</w:t>
      </w:r>
    </w:p>
    <w:p>
      <w:pPr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[1] Pieretti, N., Farina, A., Morri, D. (2011). A new methodology to infer the singing activity of an avian community: The Acoustic Complexity Index (ACI). Ecological Indicators, 11(3), 868-873.</w:t>
      </w:r>
    </w:p>
    <w:p>
      <w:pPr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[2] Kasten, E.P., Gage, S.H., Fox, J., Joo, W. (2012). The remote environmental assessment laboratory's acoustic library: An archive for studying soundscape ecology. Ecological Informatics, 12, 50-67.</w:t>
      </w:r>
    </w:p>
    <w:p>
      <w:pPr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[3] Villanueva-Rivera, L.J., Pijanowski, B.C., Doucette, J., Pekin, B. (2011). A primer of acoustic analysis for landscape ecologists. Landscape Ecology, 26(9), 1233-1246.</w:t>
      </w:r>
    </w:p>
    <w:p>
      <w:pPr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[4] Sueur, J., Pavoine, S., Hamerlynck, O., Duvail, S. (2008). Rapid acoustic survey for biodiversity appraisal. PLoS ONE, 3(12), e4065.</w:t>
      </w:r>
    </w:p>
    <w:p>
      <w:pPr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[5] Kahl, S., Wood, C.M., Eibl, M., Klinck, H. (2021). BirdNET: A deep learning solution for avian diversity monitoring. Ecological Informatics, 61, 101236.</w:t>
      </w:r>
    </w:p>
    <w:p>
      <w:pPr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[6] Klinck, H., Kahl, S. (2023). BirdNET V2.4 model &amp; documentation (TFLite). Cornell Lab of Ornithology / Chemnitz University of Technology.</w:t>
      </w:r>
    </w:p>
    <w:p>
      <w:pPr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[7] Pijanowski, B.C., et al. (2011). Soundscape ecology: The science of sound in the landscape. BioScience, 61(3), 203-216.</w:t>
      </w:r>
    </w:p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