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技 术 设 计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面向：技术评审 / 竞赛论文技术章节 / 工程维护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一、系统总体架构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二、技术栈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三、音频采集与预处理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四、鸟声识别算法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五、生态声学指数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六、人为噪声占比估计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七、宜居度耦合模型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八、时间热力图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九、公共地图系统（聚合 / 隐私 / 模糊）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十、数据看板与统计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十一、生态简报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十二、账号与云同步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十三、前端 App 架构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十四、公共地图网页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十五、部署与运维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十六、测试与质量保障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十七、参考文献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一、系统总体架构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架构总览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系统为「端—云」双层架构：Android App（React 18 H5 壳）→ 云端后端（FastAPI，Docker 容器）→ SQLite 数据库；公共地图网页（React + MapLibre GL）独立托管，只读访问云端公共接口。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层</w:t>
            </w:r>
          </w:p>
        </w:tc>
        <w:tc>
          <w:tcPr>
            <w:tcW w:type="dxa" w:w="249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技术</w:t>
            </w:r>
          </w:p>
        </w:tc>
        <w:tc>
          <w:tcPr>
            <w:tcW w:type="dxa" w:w="294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职责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表现层 App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Vite 5 + Tailwind CSS，Android WebView 套壳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录音、导入、结果展示、地区管理、图鉴、云同步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表现层 网页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MapLibre GL 3.6 + 高德瓦片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公共地图浏览 / 检索 / 对比 / 看板 / 导出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服务层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FastAPI + uvicorn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REST API：分析、识别、公共数据、账号、备份、瓦片代理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算法层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 TFLite + numpy/scipy 自研 DSP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鸟声识别、声学指数、噪声估计、宜居度合成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SQLite（可换 PostgreSQL）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用户、Token、公共记录、云备份</w:t>
            </w:r>
          </w:p>
        </w:tc>
      </w:tr>
      <w:tr>
        <w:tc>
          <w:tcPr>
            <w:tcW w:type="dxa" w:w="147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部署层</w:t>
            </w:r>
          </w:p>
        </w:tc>
        <w:tc>
          <w:tcPr>
            <w:tcW w:type="dxa" w:w="2494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Docker / podman（阿里云轻量服务器）+ nginx HTTPS</w:t>
            </w:r>
          </w:p>
        </w:tc>
        <w:tc>
          <w:tcPr>
            <w:tcW w:type="dxa" w:w="294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容器化部署、数据卷持久化、开机自启、HTTPS 反代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核心数据流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录音分析：音频字节 → decode（ffmpeg/pyav）→ 重采样 48kHz/mono → 高通滤波 → BirdNET 推理 + STFT 指数 → 宜居度合成 → 返回 App；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公共上传：App 保存的地区快照 → POST /api/public/records（Bearer Token）→ 落库（cluster_key 聚合键）→ 网页实时聚合查询；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云同步：本地 JSON 快照 → POST /api/sync/backup（单行 upsert，≤2MB）→ 换机登录恢复。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294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选型</w:t>
            </w:r>
          </w:p>
        </w:tc>
        <w:tc>
          <w:tcPr>
            <w:tcW w:type="dxa" w:w="238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后端框架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FastAPI 0.11x + uvicorn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异步 ASGI，自动 OpenAPI 文档，Pydantic 契约校验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音频解码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ffmpeg（外部进程）+ PyAV 双通道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mp3/m4a/webm 等容器解码；WAV 直读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数值计算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numpy + scipy + soundfile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STFT、滤波器组、指数计算；自研 DSP 不依赖 librosa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推理引擎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 GLOBAL 6K V2.4（TFLite）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本地推理，离线可用；模型缺失自动降级启发式引擎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前端 App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Vite 5 + Tailwind 3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H5 单页应用，Android WebView 套壳（Kotlin）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公共网页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MapLibre GL 3.6 + qrcode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高德栅格瓦片代理；二维码分享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数据库</w:t>
            </w:r>
          </w:p>
        </w:tc>
        <w:tc>
          <w:tcPr>
            <w:tcW w:type="dxa" w:w="2948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SQLite（WAL）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单文件、零运维；预留 PostgreSQL 迁移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Docker/podman + nginx（阿里云）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容器化、数据卷 /app/data、开机自启、HTTPS 反代</w:t>
            </w:r>
          </w:p>
        </w:tc>
      </w:tr>
      <w:tr>
        <w:tc>
          <w:tcPr>
            <w:tcW w:type="dxa" w:w="158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CI</w:t>
            </w:r>
          </w:p>
        </w:tc>
        <w:tc>
          <w:tcPr>
            <w:tcW w:type="dxa" w:w="294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GitHub Actions</w:t>
            </w:r>
          </w:p>
        </w:tc>
        <w:tc>
          <w:tcPr>
            <w:tcW w:type="dxa" w:w="2381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后端镜像构建推送 ghcr；Android APK 自动打包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三、音频采集与预处理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采集规格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手机麦克风录音（App 内录音最高 48kHz/16bit）；导入文件支持 wav/mp3/m4a/webm 等。后端统一重采样至 48kHz、单声道、float32。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解码与预处理链路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解码：优先 PyAV（内存解码），失败回退 ffmpeg 子进程；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重采样：scipy.signal.resample_poly 至 48kHz；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单声道：多声道按均值混缩（_to_mono）；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高通滤波：去除 200Hz 以下交通/机械低频（削弱风噪与电机声）。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短时傅里叶变换（STFT）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声学指数与热力图的基础为 STFT 幅度谱：</w:t>
      </w:r>
    </w:p>
    <w:p>
      <w:pPr>
        <w:spacing w:before="120" w:after="120"/>
        <w:jc w:val="center"/>
      </w:pPr>
      <m:oMath>
        <m:r>
          <m:t>X(t,f)=</m:t>
        </m:r>
        <m:d>
          <m:dPr>
            <m:begChr m:val="|"/>
            <m:sepChr m:val=""/>
            <m:endChr m:val="|"/>
          </m:dPr>
          <m:e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n</m:t>
                </m:r>
              </m:sub>
              <m:sup/>
              <m:e>
                <m:r>
                  <m:t>x</m:t>
                </m:r>
              </m:e>
            </m:nary>
            <m:r>
              <m:t>(</m:t>
            </m:r>
            <m:r>
              <m:t>n</m:t>
            </m:r>
            <m:r>
              <m:t>)</m:t>
            </m:r>
            <m:r>
              <m:t>w</m:t>
            </m:r>
            <m:r>
              <m:t>(</m:t>
            </m:r>
            <m:r>
              <m:t>n</m:t>
            </m:r>
            <m:r>
              <m:t>−</m:t>
            </m:r>
            <m:r>
              <m:t>t</m:t>
            </m:r>
            <m:r>
              <m:t>H</m:t>
            </m:r>
            <m:r>
              <m:t>)</m:t>
            </m:r>
            <m:sSup>
              <m:e>
                <m:r>
                  <m:t>e</m:t>
                </m:r>
              </m:e>
              <m:sup>
                <m:r>
                  <m:t>−j2πfn/N</m:t>
                </m:r>
              </m:sup>
            </m:sSup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 x(n) 为时域采样序列，w(·) 为窗函数（Hann），N 为 FFT 长度，H 为帧移。参数：N=1024，H=512；48kHz 下频率分辨率约 46.9Hz，帧长约 21.3ms，时间分辨率约 10.7ms。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Mel 滤波器组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识别与可视化使用 Mel 刻度，频率到 Mel 的映射为：</w:t>
      </w:r>
    </w:p>
    <w:p>
      <w:pPr>
        <w:spacing w:before="120" w:after="120"/>
        <w:jc w:val="center"/>
      </w:pPr>
      <m:oMath>
        <m:r>
          <m:rPr>
            <m:sty m:val="p"/>
          </m:rPr>
          <m:t>mel</m:t>
        </m:r>
        <m:r>
          <m:t>(f)=2595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sepChr m:val="+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t>f</m:t>
                </m:r>
              </m:num>
              <m:den>
                <m:r>
                  <m:t>700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三角滤波器组（Slaney 归一化），默认 128 个 Mel 频带，fmin=0，fmax=采样率/2。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四、鸟声识别算法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主引擎：BirdNET GLOBAL 6K V2.4（TFLite）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模型：康奈尔大学 BirdNET 官方 V2.4 TFLite 模型，6,522 类（全球鸟种），本地推理；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输入：3 秒原始波形（48kHz × 3s = 144,000 样本），float32；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输出：每类 logits 经 flat-sigmoid 映射为概率（官方 sensitivity=−1 / bias=1.0，即标准 sigmoid）：</w:t>
      </w:r>
    </w:p>
    <w:p>
      <w:pPr>
        <w:spacing w:before="120" w:after="120"/>
        <w:jc w:val="center"/>
      </w:pPr>
      <m:oMath>
        <m:sSub>
          <m:e>
            <m:r>
              <m:t>p</m:t>
            </m:r>
          </m:e>
          <m:sub>
            <m:r>
              <m:t>k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1+</m:t>
            </m:r>
            <m:sSup>
              <m:e>
                <m:r>
                  <m:t>e</m:t>
                </m:r>
              </m:e>
              <m:sup>
                <m: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den>
        </m:f>
      </m:oMath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分窗：长录音按 3s 切窗（不足零填充），逐窗推理；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跨窗聚合：物种置信度取「各窗最大值」（某鸟仅在 3s 窗口鸣叫也能被捕获）；freq（出现频次）= 置信度 ≥ 阈值的窗口数（占据率）；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输出条目：{id, name(中文), latin, conf(0-1), freq, period(清晨/上午/黄昏/全天)}；阈值默认 0.50，可调 0.30–0.90；topK 默认 20。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降级引擎：启发式鸟鸣检测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当模型文件缺失（离线环境）时，使用自研启发式引擎，保证功能不中断：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音节切分：短时能量包络 + 频带能量检测，提取候选音节（起止帧）；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调性检测：计算音节频谱的调性（tonalness）指标，滤除宽带噪声伪音节；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主频匹配：以音节主频（dominant frequency）与内置鸟种声学档案（主频区间）匹配，得到候选物种与置信度；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同时输出鸟声活动度 activity（0-1）。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鸟声活动度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活动度 = 检测到鸟声的有效窗口占比，作为宜居度模型的可信度输入之一。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五、生态声学指数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四个指数全部基于 48kHz STFT 幅度谱计算，口径与生态声学文献一致。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5.1 ACI —— 声学复杂度（Pieretti et al., 2011）</w:t>
      </w:r>
    </w:p>
    <w:p>
      <w:pPr>
        <w:spacing w:before="120" w:after="120"/>
        <w:jc w:val="center"/>
      </w:pPr>
      <m:oMath>
        <m:r>
          <m:rPr>
            <m:sty m:val="p"/>
          </m:rPr>
          <m:t>ACI</m:t>
        </m:r>
        <m: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f</m:t>
            </m:r>
          </m:sub>
          <m:sup/>
          <m:e>
            <m:f>
              <m:fPr>
                <m:type m:val="bar"/>
              </m:fPr>
              <m:num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t</m:t>
                    </m:r>
                  </m:sub>
                  <m:sup/>
                  <m:e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)</m:t>
                        </m:r>
                        <m:r>
                          <m:t>−</m:t>
                        </m:r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−</m:t>
                        </m:r>
                        <m:r>
                          <m:t>1</m:t>
                        </m:r>
                        <m:r>
                          <m:t>)</m:t>
                        </m:r>
                      </m:e>
                    </m:d>
                  </m:e>
                </m:nary>
              </m:num>
              <m:den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t</m:t>
                    </m:r>
                  </m:sub>
                  <m:sup/>
                  <m:e>
                    <m:d>
                      <m:dPr>
                        <m:sepChr m:val=""/>
                      </m:dPr>
                      <m:e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)</m:t>
                        </m:r>
                        <m:r>
                          <m:t>−</m:t>
                        </m:r>
                        <m:sSub>
                          <m:e>
                            <m:r>
                              <m:t>min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)</m:t>
                        </m:r>
                        <m: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</m:den>
            </m:f>
          </m:e>
        </m:nary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实现：先转 dB（下限 −80dB），按频点累计相邻帧 dB 差绝对值，除以平移后 dB 和，再对频点取均值；dB 域使鸟鸣的强动态变化高于宽频噪声的小幅抖动，鸟鸣场景 ACI 更高。展示值：pct_ACI = round(100 × tanh(8.0 × ACI))。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5.2 NDSI —— 归一化声景（Kasten et al., 2012）</w:t>
      </w:r>
    </w:p>
    <w:p>
      <w:pPr>
        <w:spacing w:before="120" w:after="120"/>
        <w:jc w:val="center"/>
      </w:pPr>
      <m:oMath>
        <m:r>
          <m:rPr>
            <m:sty m:val="p"/>
          </m:rPr>
          <m:t>NDSI</m:t>
        </m:r>
        <m: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bio</m:t>
                </m:r>
              </m:sub>
            </m:sSub>
            <m:r>
              <m:t>−</m:t>
            </m:r>
            <m:sSub>
              <m:e>
                <m:r>
                  <m:t>E</m:t>
                </m:r>
              </m:e>
              <m:sub>
                <m:r>
                  <m:t>anthro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t>bio</m:t>
                </m:r>
              </m:sub>
            </m:sSub>
            <m:r>
              <m:t>+</m:t>
            </m:r>
            <m:sSub>
              <m:e>
                <m:r>
                  <m:t>E</m:t>
                </m:r>
              </m:e>
              <m:sub>
                <m:r>
                  <m:t>anthro</m:t>
                </m:r>
              </m:sub>
            </m:sSub>
          </m:den>
        </m:f>
        <m:r>
          <m:t>,</m:t>
        </m:r>
        <m:r>
          <m:rPr>
            <m:sty m:val="p"/>
          </m:rPr>
          <m:t>NDSI</m:t>
        </m:r>
        <m:r>
          <m:t>∈[−1,1]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E_bio 为 2–11kHz 频带功率（生物声带），E_anthro 为 1–2kHz 频带功率（人为/交通声带）。正值表示生物声主导，负值表示人为噪声主导。展示值：pct_NDSI = (NDSI+1)/2 × 100。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5.3 ADI —— 声学多样性（Villanueva-Rivera et al., 2011）</w:t>
      </w:r>
    </w:p>
    <w:p>
      <w:pPr>
        <w:spacing w:before="120" w:after="120"/>
        <w:jc w:val="center"/>
      </w:pPr>
      <m:oMath>
        <m:r>
          <m:rPr>
            <m:sty m:val="p"/>
          </m:rPr>
          <m:t>ADI</m:t>
        </m:r>
        <m:r>
          <m:t>=−</m:t>
        </m:r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sel</m:t>
                </m:r>
              </m:sub>
            </m:sSub>
          </m:den>
        </m:f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 0–11kHz 均分为 10 个频带；保留能量高于「最大频带能量 − 50dB」的频带（共 N_sel 个），对归一化能量 p_i 计算 Shannon 熵并除以 ln(N_sel) 归一化，∈[0,1]。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5.4 H —— 声学熵（Sueur et al., 2008）</w:t>
      </w:r>
    </w:p>
    <w:p>
      <w:pPr>
        <w:spacing w:before="120" w:after="120"/>
        <w:jc w:val="center"/>
      </w:pPr>
      <m:oMath>
        <m:r>
          <m:t>H=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t>·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t>,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t>=−</m:t>
        </m:r>
        <m:f>
          <m:fPr>
            <m:type m:val="bar"/>
          </m:fPr>
          <m:num>
            <m:r>
              <m:t>∑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</m:den>
        </m:f>
        <m:r>
          <m:t>,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t>=−</m:t>
        </m:r>
        <m:f>
          <m:fPr>
            <m:type m:val="bar"/>
          </m:fPr>
          <m:num>
            <m:r>
              <m:t>∑</m:t>
            </m:r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</m:den>
        </m:f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时间熵 H_t：10ms 短时 RMS 包络归一化后取 Shannon 熵；频谱熵 H_f：平均幅度谱归一化后取 Shannon 熵。乘积 ∈[0,1]，越接近 1 表示各声源分布越均衡。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5.5 频带功率</w:t>
      </w:r>
    </w:p>
    <w:p>
      <w:pPr>
        <w:spacing w:before="120" w:after="120"/>
        <w:jc w:val="center"/>
      </w:pPr>
      <m:oMath>
        <m:r>
          <m:t>E(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f∈[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]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t</m:t>
                </m:r>
              </m:sub>
              <m:sup/>
              <m:e>
                <m:sSup>
                  <m:e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r>
                          <m:t>X</m:t>
                        </m:r>
                        <m:r>
                          <m:t>(</m:t>
                        </m:r>
                        <m:r>
                          <m:t>t</m:t>
                        </m:r>
                        <m:r>
                          <m:t>,</m:t>
                        </m:r>
                        <m:r>
                          <m:t>f</m:t>
                        </m:r>
                        <m:r>
                          <m:t>)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作为 NDSI、ADI、噪声估计共用的基础量。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六、人为噪声占比估计</w:t>
      </w:r>
    </w:p>
    <w:p>
      <w:pPr>
        <w:spacing w:before="120" w:after="120"/>
        <w:jc w:val="center"/>
      </w:pPr>
      <m:oMath>
        <m:r>
          <m:rPr>
            <m:sty m:val="p"/>
          </m:rPr>
          <m:t>noise</m:t>
        </m:r>
        <m:r>
          <m:t>=</m:t>
        </m:r>
        <m:d>
          <m:dPr>
            <m:begChr m:val="["/>
            <m:sepChr m:val="+"/>
            <m:endChr m:val="]"/>
          </m:dPr>
          <m:e>
            <m:r>
              <m:t>0.65</m:t>
            </m:r>
            <m:f>
              <m:fPr>
                <m:type m:val="bar"/>
              </m:fPr>
              <m:num>
                <m:sSub>
                  <m:e>
                    <m:r>
                      <m:t>E</m:t>
                    </m:r>
                  </m:e>
                  <m:sub>
                    <m:r>
                      <m:t>anthro</m:t>
                    </m:r>
                  </m:sub>
                </m:sSub>
              </m:num>
              <m:den>
                <m:sSub>
                  <m:e>
                    <m:r>
                      <m:t>E</m:t>
                    </m:r>
                  </m:e>
                  <m:sub>
                    <m:r>
                      <m:t>anthro</m:t>
                    </m:r>
                  </m:sub>
                </m:sSub>
                <m:r>
                  <m:t>+</m:t>
                </m:r>
                <m:sSub>
                  <m:e>
                    <m:r>
                      <m:t>E</m:t>
                    </m:r>
                  </m:e>
                  <m:sub>
                    <m:r>
                      <m:t>bio</m:t>
                    </m:r>
                  </m:sub>
                </m:sSub>
              </m:den>
            </m:f>
          </m:e>
          <m:e>
            <m:r>
              <m:t>0.35</m:t>
            </m:r>
            <m:d>
              <m:dPr>
                <m:sepChr m:val="−"/>
              </m:dPr>
              <m:e>
                <m:r>
                  <m:t>1</m:t>
                </m:r>
              </m:e>
              <m:e>
                <m:r>
                  <m:rPr>
                    <m:sty m:val="p"/>
                  </m:rPr>
                  <m:t>activity</m:t>
                </m:r>
              </m:e>
            </m:d>
          </m:e>
        </m:d>
        <m:r>
          <m:t>×100%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双信号融合：① 频谱比（1–2kHz 人为声带 vs 2–11kHz 生物声带的能量占比）；② 鸟声活动度（有鸟声 → 噪声低）。兼顾物理声谱与语义证据。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七、宜居度耦合模型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宜居度（0–100）由生物多样性维度 bio 与声环境质量维度 sound 加权合成：</w:t>
      </w:r>
    </w:p>
    <w:p>
      <w:pPr>
        <w:spacing w:before="120" w:after="120"/>
        <w:jc w:val="center"/>
      </w:pPr>
      <m:oMath>
        <m:r>
          <m:rPr>
            <m:sty m:val="p"/>
          </m:rPr>
          <m:t>score</m:t>
        </m:r>
        <m:r>
          <m:t>=0.55</m:t>
        </m:r>
        <m:r>
          <m:rPr>
            <m:sty m:val="p"/>
          </m:rPr>
          <m:t>bio</m:t>
        </m:r>
        <m:r>
          <m:t>+0.45</m:t>
        </m:r>
        <m:r>
          <m:rPr>
            <m:sty m:val="p"/>
          </m:rPr>
          <m:t>sound</m:t>
        </m:r>
      </m:oMath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7.1 生物多样性维度 bio</w:t>
      </w:r>
    </w:p>
    <w:p>
      <w:pPr>
        <w:spacing w:before="120" w:after="120"/>
        <w:jc w:val="center"/>
      </w:pPr>
      <m:oMath>
        <m:r>
          <m:rPr>
            <m:sty m:val="p"/>
          </m:rPr>
          <m:t>bio</m:t>
        </m:r>
        <m:r>
          <m:t>=18+16</m:t>
        </m:r>
        <m:r>
          <m:rPr>
            <m:sty m:val="p"/>
          </m:rPr>
          <m:t>ln</m:t>
        </m:r>
        <m:r>
          <m:t>(1+</m:t>
        </m:r>
        <m:sSub>
          <m:e>
            <m:r>
              <m:t>n</m:t>
            </m:r>
          </m:e>
          <m:sub>
            <m:r>
              <m:t>sp</m:t>
            </m:r>
          </m:sub>
        </m:sSub>
        <m:r>
          <m:t>)+22</m:t>
        </m:r>
        <m:r>
          <m:rPr>
            <m:sty m:val="p"/>
          </m:rPr>
          <m:t>ADI</m:t>
        </m:r>
        <m:r>
          <m:t>+7</m:t>
        </m:r>
        <m:acc>
          <m:accPr>
            <m:chr m:val="―"/>
          </m:accPr>
          <m:e>
            <m:r>
              <m:t>conf</m:t>
            </m:r>
          </m:e>
        </m:acc>
        <m:r>
          <m:t>+3</m:t>
        </m:r>
        <m:r>
          <m:rPr>
            <m:sty m:val="p"/>
          </m:rPr>
          <m:t>activity</m:t>
        </m:r>
        <m:r>
          <m:t>−0.12</m:t>
        </m:r>
        <m:r>
          <m:rPr>
            <m:sty m:val="p"/>
          </m:rPr>
          <m:t>noise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n_sp：识别物种数（对数饱和）；ADI：声学多样性；conf̄：物种平均置信度；activity：鸟声活动度；noise：噪声占比（噪声掩蔽鸟声、压缩栖息空间，线性折减）。截断至 [0,100]。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7.2 声环境质量维度 sound</w:t>
      </w:r>
    </w:p>
    <w:p>
      <w:pPr>
        <w:spacing w:before="120" w:after="120"/>
        <w:jc w:val="center"/>
      </w:pPr>
      <m:oMath>
        <m:r>
          <m:rPr>
            <m:sty m:val="p"/>
          </m:rPr>
          <m:t>sound</m:t>
        </m:r>
        <m:r>
          <m:t>=10+30</m:t>
        </m:r>
        <m:f>
          <m:fPr>
            <m:type m:val="bar"/>
          </m:fPr>
          <m:num>
            <m:r>
              <m:rPr>
                <m:sty m:val="p"/>
              </m:rPr>
              <m:t>NDSI</m:t>
            </m:r>
            <m:r>
              <m:t>+1</m:t>
            </m:r>
          </m:num>
          <m:den>
            <m:r>
              <m:t>2</m:t>
            </m:r>
          </m:den>
        </m:f>
        <m:r>
          <m:t>+22</m:t>
        </m:r>
        <m:r>
          <m:t>H+18</m:t>
        </m:r>
        <m:d>
          <m:dPr>
            <m:sepChr m:val="−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rPr>
                    <m:sty m:val="p"/>
                  </m:rPr>
                  <m:t>noise</m:t>
                </m:r>
              </m:num>
              <m:den>
                <m:r>
                  <m:t>100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NDSI（归一化声景）、H（声学熵）、noise（噪声）三项耦合，截断至 [0,100]。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7.3 等级阈值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score ≥ 70 → 宜居（Good）；50 ≤ score &lt; 70 → 一般（Moderate）；score &lt; 50 → 受压（Stressed）。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7.4 置信度合成</w:t>
      </w:r>
    </w:p>
    <w:p>
      <w:pPr>
        <w:spacing w:before="120" w:after="120"/>
        <w:jc w:val="center"/>
      </w:pPr>
      <m:oMath>
        <m:r>
          <m:rPr>
            <m:sty m:val="p"/>
          </m:rPr>
          <m:t>confidence</m:t>
        </m:r>
        <m:r>
          <m:t>=0.35</m:t>
        </m:r>
        <m:r>
          <m:rPr>
            <m:sty m:val="p"/>
          </m:rPr>
          <m:t>activity</m:t>
        </m:r>
        <m:r>
          <m:t>+0.30</m:t>
        </m:r>
        <m:acc>
          <m:accPr>
            <m:chr m:val="―"/>
          </m:accPr>
          <m:e>
            <m:r>
              <m:t>conf</m:t>
            </m:r>
          </m:e>
        </m:acc>
        <m:r>
          <m:t>+0.20</m:t>
        </m:r>
        <m:r>
          <m:t>min</m:t>
        </m:r>
        <m:d>
          <m:dPr>
            <m:sepChr m:val=","/>
          </m:dPr>
          <m:e>
            <m:r>
              <m:t>1</m:t>
            </m:r>
          </m:e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t>sp</m:t>
                    </m:r>
                  </m:sub>
                </m:sSub>
              </m:num>
              <m:den>
                <m:r>
                  <m:t>3</m:t>
                </m:r>
              </m:den>
            </m:f>
          </m:e>
        </m:d>
        <m:r>
          <m:t>+0.15</m:t>
        </m:r>
        <m:r>
          <m:t>min</m:t>
        </m:r>
        <m:d>
          <m:dPr>
            <m:sepChr m:val=",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t>dur</m:t>
                </m:r>
              </m:num>
              <m:den>
                <m:r>
                  <m:t>30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四路输入：鸟声活动度、识别平均置信度、物种证据充分度（3 种封顶）、采样时长充分度（30s 封顶）。置信度标签：≥0.6 高 / ≥0.4 中 / &lt;0.4 低。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八、时间热力图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 STFT 幅度谱按时间 × 频段分箱映射为 4×12 网格（4 个频段 × 12 个时间片），颜色编码能量强度，供用户直观理解「何时、哪个频段有鸟声」；该矩阵同样存储于分析结果，作为展示型数据（非科学计算主路径）。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九、公共地图系统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9.1 聚合键 cluster_key</w:t>
      </w:r>
    </w:p>
    <w:p>
      <w:pPr>
        <w:spacing w:before="120" w:after="120"/>
        <w:jc w:val="center"/>
      </w:pPr>
      <m:oMath>
        <m:r>
          <m:rPr>
            <m:sty m:val="p"/>
          </m:rPr>
          <m:t>cluster_key</m:t>
        </m:r>
        <m:r>
          <m:t>=</m:t>
        </m:r>
        <m:r>
          <m:rPr>
            <m:sty m:val="p"/>
          </m:rPr>
          <m:t>region_name</m:t>
        </m:r>
        <m:r>
          <m:t>∣</m:t>
        </m:r>
        <m:r>
          <m:rPr>
            <m:sty m:val="p"/>
          </m:rPr>
          <m:t>grid_hash</m:t>
        </m:r>
        <m:r>
          <m:t>(lat,</m:t>
        </m:r>
        <m:r>
          <m:t>lng)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同一地区名 + 相近坐标（网格哈希）的记录自动聚合成一个聚合点；同点多次采样保留为多条样本（支持趋势分析）。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9.2 加权聚合</w:t>
      </w:r>
    </w:p>
    <w:p>
      <w:pPr>
        <w:spacing w:before="120" w:after="120"/>
        <w:jc w:val="center"/>
      </w:pPr>
      <m:oMath>
        <m:r>
          <m:rPr>
            <m:sty m:val="p"/>
          </m:rPr>
          <m:t>score</m:t>
        </m:r>
        <m:r>
          <m:t>=</m:t>
        </m:r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sSub>
                  <m:e>
                    <m:r>
                      <m:rPr>
                        <m:sty m:val="p"/>
                      </m:rPr>
                      <m:t>score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·max(</m:t>
            </m:r>
            <m:sSub>
              <m:e>
                <m:r>
                  <m:rPr>
                    <m:sty m:val="p"/>
                  </m:rPr>
                  <m:t>conf</m:t>
                </m:r>
              </m:e>
              <m:sub>
                <m:r>
                  <m:t>i</m:t>
                </m:r>
              </m:sub>
            </m:sSub>
            <m:r>
              <m:t>,</m:t>
            </m:r>
            <m:r>
              <m:t>ε)</m:t>
            </m:r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r>
                  <m:t>max(</m:t>
                </m:r>
              </m:e>
            </m:nary>
            <m:sSub>
              <m:e>
                <m:r>
                  <m:rPr>
                    <m:sty m:val="p"/>
                  </m:rPr>
                  <m:t>conf</m:t>
                </m:r>
              </m:e>
              <m:sub>
                <m:r>
                  <m:t>i</m:t>
                </m:r>
              </m:sub>
            </m:sSub>
            <m:r>
              <m:t>,</m:t>
            </m:r>
            <m:r>
              <m:t>ε)</m:t>
            </m:r>
          </m:den>
        </m:f>
        <m:r>
          <m:t>,</m:t>
        </m:r>
        <m:r>
          <m:t>ε=0.01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以置信度为权重的加权宜居度均值（低置信度记录权重被压缩）；confidenceAvg 为算术均值；scoreMin/scoreMax 取样本极值；n 为样本数。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9.3 确定性坐标模糊（隐私）</w:t>
      </w:r>
    </w:p>
    <w:p>
      <w:pPr>
        <w:spacing w:before="120" w:after="120"/>
        <w:jc w:val="center"/>
      </w:pPr>
      <m:oMath>
        <m:r>
          <m:t>Δ=</m:t>
        </m:r>
        <m:r>
          <m:rPr>
            <m:sty m:val="p"/>
          </m:rPr>
          <m:t>sha</m:t>
        </m:r>
        <m:r>
          <m:t>256</m:t>
        </m:r>
        <m:r>
          <m:t>(</m:t>
        </m:r>
        <m:r>
          <m:rPr>
            <m:sty m:val="p"/>
          </m:rPr>
          <m:t>key</m:t>
        </m:r>
        <m:r>
          <m:t>)[0:8]⇒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∈[0,1)</m:t>
        </m:r>
      </m:oMath>
    </w:p>
    <w:p>
      <w:pPr>
        <w:spacing w:before="120" w:after="120"/>
        <w:jc w:val="center"/>
      </w:pPr>
      <m:oMath>
        <m:r>
          <m:t>la</m:t>
        </m:r>
        <m:sSup>
          <m:e>
            <m:r>
              <m:t>t</m:t>
            </m:r>
          </m:e>
          <m:sup>
            <m:r>
              <m:t>′</m:t>
            </m:r>
          </m:sup>
        </m:sSup>
        <m:r>
          <m:t>=lat+(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−0.5)·2J,</m:t>
        </m:r>
        <m:r>
          <m:t>ln</m:t>
        </m:r>
        <m:sSup>
          <m:e>
            <m:r>
              <m:t>g</m:t>
            </m:r>
          </m:e>
          <m:sup>
            <m:r>
              <m:t>′</m:t>
            </m:r>
          </m:sup>
        </m:sSup>
        <m:r>
          <m:t>=lng+(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−0.5)·2J,</m:t>
        </m:r>
        <m:r>
          <m:t>J≈±250m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同一 key 每次结果一致（刷新不抖动）；模糊量 ≤ ±250m，精确采样位置不可逆。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9.4 隐私设计清单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公共接口不返回精确坐标（仅模糊后 lat/lng）与用户 ID；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样本仅公开：匿名昵称 + 日期（到天）+ 评分 + 噪声 + 鸟种；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删除需登录且本人校验（user_id 匹配），他人 403。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十、数据看板与统计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GET /api/public/stats 聚合输出：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totalSamples（总样本）、totalClusters（聚合点数）、activeUsers（活跃用户）、totalSpecies（识别鸟种数）；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scoreAvg：置信度加权宜居度均值（与聚合口径一致）；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buckets：宜居/一般/受压三档计数；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speciesTop：跨样本物种出现次数 Top10；regionTop：按地区汇总样本数 Top10。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物种分布筛选：clusters 接口支持 species 参数，只聚合含该物种的记录（分布热力）。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十一、生态简报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GET /api/public/clusters/{id}/report 生成地区生态报告：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LLM 模式：配置 LLM_API_KEY（默认智谱 glm-4-flash，可换通义/DeepSeek），将聚合统计（评分/噪声/物种 Top/趋势）注入提示词，返回 Markdown 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模板降级：无 Key 或调用失败 → 规则模板自动生成（含地区名、评分、三档结论、物种 Top 等），功能永不阻塞。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十二、账号与云同步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鉴权：注册/登录发放 Bearer Token（auth_tokens 表），请求头 Authorization 校验；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修改密码：改密后删除该用户全部 Token（强制下线所有设备）；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云备份：user_backups 表（user_id 主键单行），POST/GET /api/sync/backup，payload ≤2MB，账号间隔离；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本地数据范围：history（分析历史）、regions（地区记录）、analysis 快照、批次结果；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recordedAt 回填：上传接口支持可选 recordedAt（演示/数据迁移），App 正常上传不传（服务端当前时间）。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十三、前端 App 架构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13.1 技术结构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React 18 + Vite 5 + Tailwind CSS，组件化开发，Android Kotlin WebView 套壳（含文件选择、录音权限）；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状态管理：Context + useReducer（appStore），支持 BACK/GO 路由、Toast、持久化；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数据层：repository 统一出口，mockData 与 apiService 双实现，VITE_USE_MOCK 切换演示/真实模式；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本地存储：localStorage（history/regions/batches），启动水合避免覆盖（skipFirstPersist）。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13.2 数据契约守护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frontend/tests/dataContract.test.js 守护字段契约（species/indices/livability/heatmap/mapPoints/history），前端 mock 与后端响应结构不一致时测试立即失败，保证双数据源口径一致。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13.3 真实鸟图预加载（分享卡片用）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资源来源：backend/scripts/fetch_bird_photos.py 从 Bing 图片搜索（cn.bing.com/images/async）抓取 122 种城市常见鸟真实照片（120 种图鉴 + 拟八哥/主红雀），正则解析 murl，中心裁剪 320x320 JPEG 质量 82，optimize+progressive，输出 frontend/src/assets/birds/bird_001.jpg ~ bird_122.jpg；单张 8-35KB，全部 ~2.4MB。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水印图库黑名单：699pic / nipic / vcg / veer / 58pic / pixabay / zol / bcebos 等域名直接跳过，避免抓水印/防盗图占位；6 组搜索词 fallback（中文名 鸟/实拍/观鸟/摄影 → 英文名 → 学名）。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文件名必须纯英文：Android WebView 的 file:// 协议对 percent-encoded 路径支持差，中文文件名经 Vite 编译（new URL(filename, import.meta.url).href）会被 percent-encode，导致图片加载失败。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前端加载：utils/birdImageLoader.js 显式 import + ?url 后缀（Vite 一定 emit 到 dist），loadAll() 异步预加载 + img.decode() 确保真正可绘制；**绝无卡通兜底**——找不到真图时拍立得显示「该鸟暂未收录图鉴」占位（用户明确要求，避免误导）。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鸟名模糊匹配 resolveBirdName()：识别名（BirdNET 中文名）与图鉴名三级匹配——精确(1.0) → 别名/名称包含(0.92/0.85) → 编辑距离相似度 ≥0.55（如 树麻雀→麻雀、白头翁→白头鹎、灰掠鸟→灰椋鸟、斑鸠→珠颈斑鸠），匹配不到才占位。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统一渲染：share() / 批量分享 / 编辑器共用 utils/shareCard.js → cardElements.js 的 buildDefaultTree + renderTreeToCanvas（早期 shareCard.js 是独立卡通渲染导致"外面卡通、里面真图"，已重写统一）。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触发时机：ResultsScreen/HistoryScreen 的「分享」先 await loadAll() 再出图，保证拍立得是真实照片。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13.4 分享卡片编辑器（画板体验）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画布 canvas 物理尺寸 = 编辑区视口大小，永远铺满；平移/缩放用 ctx.setTransform 内部变换（不用 CSS transform，WebView 兼容差）。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交互：拖空白 = 平移画布；拖元素 = 移动；角柄 = 缩放元素；上柄 = 旋转；双击文字 = inline 弹层编辑（不用 window.prompt，WebView 下 file:// 标题）；底部 dock：+文字 / +鸟图 / 删除 / 缩放滑杆(40%~200%) / 复位。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保存：bridge.saveImage(dataUrl, filename) 走 MediaStore（API 29+ 免权限）或公共 Pictures + WRITE_EXTERNAL_STORAGE（API ≤ 28）；前端必须传 filename（缺参会致 Kotlin sanitize(null) NPE）。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13.5 页面清单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首页 / 录音（实时+导入）/ 分析中 / 结果 / 物种清单 / 声学指数 / 时间热力图 / 宜居度详情 / 地区记录 / 地图（选点）/ 鸟种图鉴（122 种）/ 登录 / 设置 / 使用说明 / 样例音频 / 方法学。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十四、公共地图网页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MapLibre GL 渲染，高德栅格瓦片经后端 /api/tiles/* 代理（避免跨域与 Key 暴露）；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聚合点 circle 层：颜色按宜居度渐变（&lt;50 红、50-70 琥珀、≥70 绿），半径按 sqrt(n) 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面板体系：图鉴 / 对比 / 趋势 / 简报 / 看板 / Top10 / 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导出：聚合 CSV + 明细 CSV（UTF-8 BOM，8 列全维度）；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移动端：@media(max-width:700px) 全量自适应。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十五、部署与运维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生产环境：阿里云轻量应用服务器（2C2G，Alibaba Cloud Linux 3），容器化部署（podman-docker 兼容层）；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数据持久化：Docker 命名卷 /app/data（SQLite 文件 + 模型），容器重建数据不丢；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更新机制：服务器 /root/update.sh（备份 db → 拉新镜像 → 重建容器 → healthz 校验）；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HTTPS：nginx 反代 8000（域名 caurmosi.top，Let’s Encrypt 证书，acme.sh + 阿里云 DNS hook 全自动续期）；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镜像构建：GitHub Actions 推送 ghcr.io，后端镜像 + Android APK 自动打包；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生产统一：App / 公共网页 API_BASE 均指向 https://caurmosi.top（Sealos 已退役）。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十六、测试与质量保障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70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层级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工具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规模</w:t>
            </w:r>
          </w:p>
        </w:tc>
        <w:tc>
          <w:tcPr>
            <w:tcW w:type="dxa" w:w="19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覆盖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后端单元/集成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pytest + FastAPI TestClient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124 用例全绿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识别、指数、宜居度、聚合、隐私、统计、同步、鉴权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前端单元</w:t>
            </w:r>
          </w:p>
        </w:tc>
        <w:tc>
          <w:tcPr>
            <w:tcW w:type="dxa" w:w="204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node --test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347 用例全绿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reducer、契约、联动、导出、本地化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数据契约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dataContract.test.js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守护字段结构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mock 与真实 API 口径一致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算法校准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test_indices.py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锚点回归</w:t>
            </w:r>
          </w:p>
        </w:tc>
        <w:tc>
          <w:tcPr>
            <w:tcW w:type="dxa" w:w="1928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好/差样地评分区间</w:t>
            </w:r>
          </w:p>
        </w:tc>
      </w:tr>
      <w:tr>
        <w:tc>
          <w:tcPr>
            <w:tcW w:type="dxa" w:w="170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E2E 验证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curl + 公网实测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部署后</w:t>
            </w:r>
          </w:p>
        </w:tc>
        <w:tc>
          <w:tcPr>
            <w:tcW w:type="dxa" w:w="192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indices/tiles/login/clusters/export 全通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十七、参考文献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[1] Pieretti, N., Farina, A., Morri, D. (2011). A new methodology to infer the singing activity of an avian community: The Acoustic Complexity Index (ACI). Ecological Indicators, 11(3), 868-873.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[2] Kasten, E.P., Gage, S.H., Fox, J., Joo, W. (2012). The remote environmental assessment laboratory's acoustic library: An archive for studying soundscape ecology. Ecological Informatics, 12, 50-67.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[3] Villanueva-Rivera, L.J., Pijanowski, B.C., Doucette, J., Pekin, B. (2011). A primer of acoustic analysis for landscape ecologists. Landscape Ecology, 26(9), 1233-1246.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[4] Sueur, J., Pavoine, S., Hamerlynck, O., Duvail, S. (2008). Rapid acoustic survey for biodiversity appraisal. PLoS ONE, 3(12), e4065.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[5] Kahl, S., Wood, C.M., Eibl, M., Klinck, H. (2021). BirdNET: A deep learning solution for avian diversity monitoring. Ecological Informatics, 61, 101236.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[6] Klinck, H., Kahl, S. (2023). BirdNET V2.4 model &amp; documentation (TFLite). Cornell Lab of Ornithology / Chemnitz University of Technology.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[7] Pijanowski, B.C., et al. (2011). Soundscape ecology: The science of sound in the landscape. BioScience, 61(3), 203-216.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