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宋体"/>
          <w:b/>
          <w:i w:val="0"/>
          <w:color w:val="1B5E3F"/>
          <w:sz w:val="44"/>
        </w:rPr>
        <w:t>《林间回响》城市鸟类宜居度声学诊断平台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22332A"/>
          <w:sz w:val="36"/>
        </w:rPr>
        <w:t>技术设计说明书</w:t>
      </w:r>
    </w:p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面向：技术评审 / 竞赛论文技术章节 / 工程维护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目录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一、系统总体架构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二、技术栈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三、音频采集与预处理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四、鸟声识别算法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五、生态声学指数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六、人为噪声占比估计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七、宜居度耦合模型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八、时间热力图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九、公共地图系统（聚合 / 隐私 / 模糊）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十、数据看板与统计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十一、生态简报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十二、账号与云同步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十三、前端 App 架构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十四、公共地图网页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十五、部署与运维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十六、测试与质量保障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十七、参考文献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一、系统总体架构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1.1 架构总览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系统为「端—云」双层架构：</w:t>
      </w:r>
    </w:p>
    <w:p>
      <w:pPr>
        <w:spacing w:after="60"/>
        <w:ind w:left="283"/>
      </w:pPr>
      <w:r>
        <w:rPr>
          <w:rFonts w:ascii="Times New Roman" w:hAnsi="Times New Roman" w:eastAsia="宋体"/>
          <w:b w:val="0"/>
          <w:i w:val="0"/>
          <w:sz w:val="21"/>
        </w:rPr>
        <w:t>Android App（React 18 H5 壳） → 云端后端（FastAPI，Docker 容器） → SQLite 数据库；公共地图网页（React + MapLibre GL）独立托管，只读访问云端公共接口。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2494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技术</w:t>
            </w:r>
          </w:p>
        </w:tc>
        <w:tc>
          <w:tcPr>
            <w:tcW w:type="dxa" w:w="2948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表现层 App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React 18 + Vite 5 + Tailwind CSS，Android WebView 套壳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录音、导入、结果展示、地区管理、图鉴、云同步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表现层 网页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React 18 + MapLibre GL 3.6 + 高德瓦片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公共地图浏览 / 检索 / 对比 / 看板 / 导出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服务层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FastAPI + uvicorn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REST API：分析、识别、公共数据、账号、备份、瓦片代理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算法层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BirdNET TFLite + numpy/scipy 自研 DSP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鸟声识别、声学指数、噪声估计、宜居度合成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数据层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SQLite（可换 PostgreSQL）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用户、Token、公共记录、云备份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部署层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Docker / podman（阿里云轻量服务器），Sealos 备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容器化部署、数据卷持久化、开机自启</w:t>
            </w:r>
          </w:p>
        </w:tc>
      </w:tr>
    </w:tbl>
    <w:p>
      <w:r>
        <w:rPr>
          <w:rFonts w:ascii="Times New Roman" w:hAnsi="Times New Roman" w:eastAsia="宋体"/>
          <w:b/>
          <w:i w:val="0"/>
          <w:color w:val="22332A"/>
          <w:sz w:val="26"/>
        </w:rPr>
        <w:t>1.2 核心数据流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录音分析：音频字节 → decode（ffmpeg/pyav）→ 重采样 48kHz/mono → 高通滤波 → BirdNET 推理 + STFT 指数 → 宜居度合成 → 返回 App；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公共上传：App 保存的地区快照 → POST /api/public/records（Bearer Token）→ 落库（cluster_key 聚合键）→ 网页实时聚合查询；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云同步：本地 JSON 快照 → POST /api/sync/backup（单行 upsert，≤2MB）→ 换机登录恢复。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二、技术栈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948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选型</w:t>
            </w:r>
          </w:p>
        </w:tc>
        <w:tc>
          <w:tcPr>
            <w:tcW w:type="dxa" w:w="238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后端框架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FastAPI 0.11x + uvicorn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异步 ASGI，自动 OpenAPI 文档，Pydantic 契约校验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音频解码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ffmpeg（外部进程）+ PyAV 双通道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mp3/m4a/webm 等容器解码；WAV 直读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数值计算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numpy + scipy + soundfile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STFT、滤波器组、指数计算；自研 DSP 不依赖 librosa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推理引擎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BirdNET GLOBAL 6K V2.4（TFLite）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本地推理，离线可用；模型缺失自动降级启发式引擎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前端 App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React 18 + Vite 5 + Tailwind 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H5 单页应用，Android WebView 套壳（Kotlin）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公共网页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React 18 + MapLibre GL 3.6 + qrcode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高德栅格瓦片代理；二维码分享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数据库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SQLite（WAL）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单文件、零运维；预留 PostgreSQL 迁移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Docker/podman + nginx（阿里云）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容器化、数据卷 /app/data、开机自启、HTTPS 反代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CI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Actions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后端镜像构建推送 ghcr；Android APK 自动打包</w:t>
            </w:r>
          </w:p>
        </w:tc>
      </w:tr>
    </w:tbl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三、音频采集与预处理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3.1 采集规格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手机麦克风录音（App 内录音最高 48kHz/16bit）；导入文件支持 wav/mp3/m4a/webm 等。后端统一重采样至 48kHz、单声道、float32。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3.2 解码与预处理链路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解码：优先 PyAV（内存解码），失败回退 ffmpeg 子进程；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重采样：scipy.signal.resample_poly 至 48kHz；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单声道：多声道按均值混缩（_to_mono）；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高通滤波：去除 200Hz 以下交通/机械低频（削弱风噪与电机声）。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3.3 短时傅里叶变换（STFT）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声学指数与热力图的基础为 STFT 幅度谱：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X(t, f) = | Σ_{n} x(n) · w(n − t·H) · e^{−j2πfn/N} |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参数：N_FFT=1024，HOP=512，窗函数为 scipy.signal.get_window("hann")；48kHz 下频率分辨率 ≈ 46.9 Hz，帧长 ≈ 21.3ms，时间分辨率 ≈ 10.7ms。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3.4 Mel 滤波器组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识别与可视化使用 Mel 刻度：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mel(f) = 2595 · log10(1 + f/700)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三角滤波器组（Slaney 归一化），默认 128 Mel 频带，fmin=0、fmax=采样率/2。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四、鸟声识别算法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4.1 主引擎：BirdNET GLOBAL 6K V2.4（TFLite）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模型：康奈尔大学 BirdNET 官方 V2.4 TFLite 模型，6,522 类（全球鸟种），本地推理；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输入：3 秒原始波形（48kHz × 3s = 144,000 样本），float32；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输出：每类 logits → flat-sigmoid 概率（官方 sensitivity=−1 / bias=1.0，即标准 sigmoid）：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p_k = 1 / (1 + exp(−z_k))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分窗：长录音按 3s 切窗（不足零填充），逐窗推理；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跨窗聚合：物种置信度取「各窗最大值」（某鸟仅在 3s 窗口鸣叫也能被捕获）；freq（出现频次）= 置信度 ≥ 阈值的窗口数（占据率）；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输出条目：{id, name(中文), latin, conf(0-1), freq, period(清晨/上午/黄昏/全天)}；阈值默认 0.50，可调 0.30–0.90；topK 默认 20。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4.2 降级引擎：启发式鸟鸣检测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当模型文件缺失（离线环境）时，使用自研启发式引擎，保证功能不中断：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音节切分：短时能量包络 + 频带能量检测，提取候选音节（起止帧）；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调性检测：计算音节频谱的调性（tonalness）指标，滤除宽带噪声伪音节；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主频匹配：以音节主频（dominant frequency）与内置鸟种声学档案（主频区间）匹配，得到候选物种与置信度；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同时输出鸟声活动度 activity（0-1）。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4.3 鸟声活动度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活动度 = 检测到鸟声的有效窗口占比，作为宜居度模型的可信度输入之一。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五、生态声学指数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四个指数全部基于 48kHz STFT 幅度谱计算，口径与生态声学文献一致。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5.1 ACI —— 声学复杂度（Pieretti et al., 2011）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ACI = mean_f [ Σ_t |dB(f,t) − dB(f,t−1)| / Σ_t (dB(f,t) − min_f dB(f) + 1) ]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实现：先转 dB（下限 −80dB），按频点累计相邻帧 dB 差绝对值，除以平移后 dB 和，再对频点取均值；dB 域使鸟鸣的强动态变化高于宽频噪声的小幅抖动，鸟鸣场景 ACI 更高。展示值：pct_ACI = round(100 × tanh(8.0 × ACI))。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5.2 NDSI —— 归一化声景（Kasten et al., 2012）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NDSI = (E_bio − E_anthro) / (E_bio + E_anthro) ,  ∈ [−1, 1]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E_bio = 2–11kHz 频带功率（生物声带）；E_anthro = 1–2kHz 频带功率（人为/交通声带）。正值表示生物声主导，负值表示人为噪声主导。展示值：pct_NDSI = (NDSI+1)/2 × 100。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5.3 ADI —— 声学多样性（Villanueva-Rivera et al., 2011）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ADI = − Σ_i p_i · ln(p_i) / ln(N_sel)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将 0–11kHz 均分为 10 个频带；保留能量高于「最大频带能量 − 50dB」的频带（N_sel 个），对归一化能量 p_i 计算 Shannon 熵并除以 ln(N_sel) 归一化，∈[0,1]。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5.4 H —— 声学熵（Sueur et al., 2008）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H = H_t × H_f ,   H_t = −Σ p_t ln p_t / ln N_t ,   H_f = −Σ p_f ln p_f / ln N_f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时间熵 H_t：10ms 短时 RMS 包络归一化后取 Shannon 熵；频谱熵 H_f：平均幅度谱归一化后取 Shannon 熵。乘积 ∈[0,1]，越接近 1 表示各声源分布越均衡。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5.5 频带功率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E(f1,f2) = Σ_{f∈[f1,f2]} Σ_t |X(t,f)|²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 NDSI、ADI、噪声估计共用的基础量。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六、人为噪声占比估计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noise% = [ 0.65 × E_anthro/(E_anthro+E_bio) + 0.35 × (1 − activity) ] × 100%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双信号融合：① 频谱比（1–2kHz 人为声带 vs 2–11kHz 生物声带的能量占比）；② 鸟声活动度（有鸟声 → 噪声低）。兼顾物理声谱与语义证据。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七、宜居度耦合模型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宜居度（0–100）由生物多样性维度 bio 与声环境质量维度 sound 加权合成：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score = 0.55 × bio + 0.45 × sound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7.1 生物多样性维度 bio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bio = 18 + 16·ln(1 + n_sp) + 22·ADI + 7·conf̄ + 3·activity − 0.12·noise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n_sp：识别物种数（对数饱和）；ADI：声学多样性；conf̄：物种平均置信度；activity：鸟声活动度；noise：噪声占比（噪声掩蔽鸟声、压缩栖息空间，线性折减）。截断至 [0,100]。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7.2 声环境质量维度 sound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sound = 10 + 30·(NDSI+1)/2 + 22·H + 18·(1 − noise/100)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NDSI（归一化声景）、H（声学熵）、noise（噪声）三项耦合，截断至 [0,100]。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7.3 等级阈值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score ≥ 70 → 宜居(Good)；50 ≤ score &lt; 70 → 一般(Moderate)；score &lt; 50 → 受压(Stressed)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7.4 置信度合成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confidence = 0.35·activity + 0.30·conf̄ + 0.20·min(1, n_sp/3) + 0.15·min(1, dur/30)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四路输入：鸟声活动度、识别平均置信度、物种证据充分度（3 种封顶）、采样时长充分度（30s 封顶）。置信度标签：≥0.6 高 / ≥0.4 中 / &lt;0.4 低。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八、时间热力图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将 STFT 幅度谱按时间 × 频段分箱映射为 4×12 网格（4 个频段 × 12 个时间片），颜色编码能量强度，供用户直观理解「何时、哪个频段有鸟声」；该矩阵同样存储于分析结果，作为展示型数据（非科学计算主路径）。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九、公共地图系统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9.1 聚合键 cluster_key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cluster_key = region_name | grid_hash(lat, lng)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同一地区名 + 相近坐标（网格哈希）的记录自动聚合成一个聚合点；同点多次采样保留为多条样本（支持趋势分析）。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9.2 加权聚合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score = Σ(score_i × max(conf_i, ε)) / Σ max(conf_i, ε) ,   ε = 0.01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以置信度为权重的加权宜居度均值（低置信度记录权重被压缩）；confidenceAvg 为算术均值；scoreMin/scoreMax 取样本极值；n 为样本数。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9.3 确定性坐标模糊（隐私）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Δ = sha256(key) 前 8 字节 → 两个 [0,1) 随机数 r1, r2</w:t>
      </w:r>
    </w:p>
    <w:p>
      <w:pPr>
        <w:spacing w:before="8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lat′ = lat + (r1 − 0.5)·2·JITTER ,   lng′ = lng + (r2 − 0.5)·2·JITTER ,   JITTER ≈ ±250m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同一 key 每次结果一致（刷新不抖动）；模糊量 ≤ ±250m，精确采样位置不可逆。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9.4 隐私设计清单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公共接口不返回精确坐标（仅模糊后 lat/lng）与用户 ID；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样本仅公开：匿名昵称 + 日期（到天）+ 评分 + 噪声 + 鸟种；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删除需登录且本人校验（user_id 匹配），他人 403。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十、数据看板与统计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GET /api/public/stats 聚合输出：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totalSamples（总样本）、totalClusters（聚合点数）、activeUsers（活跃用户）、totalSpecies（识别鸟种数）；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scoreAvg：置信度加权宜居度均值（与聚合口径一致）；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buckets：宜居/一般/受压三档计数；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speciesTop：跨样本物种出现次数 Top10；regionTop：按地区汇总样本数 Top10。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物种分布筛选：clusters 接口支持 species 参数，只聚合含该物种的记录（分布热力）。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十一、生态简报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GET /api/public/clusters/{id}/report 生成地区生态报告：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LLM 模式：配置 LLM_API_KEY（默认智谱 glm-4-flash，可换通义/DeepSeek），将聚合统计（评分/噪声/物种 Top/趋势）注入提示词，返回 Markdown 报告；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模板降级：无 Key 或调用失败 → 规则模板自动生成（含地区名、评分、三档结论、物种 Top 等），功能永不阻塞。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十二、账号与云同步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鉴权：注册/登录发放 Bearer Token（auth_tokens 表），请求头 Authorization 校验；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修改密码：改密后删除该用户全部 Token（强制下线所有设备）；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云备份：user_backups 表（user_id 主键单行），POST/GET /api/sync/backup，payload ≤2MB，账号间隔离；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本地数据范围：history（分析历史）、regions（地区记录）、analysis 快照、批次结果；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recordedAt 回填：上传接口支持可选 recordedAt（演示/数据迁移），App 正常上传不传（服务端当前时间）。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十三、前端 App 架构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13.1 技术结构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React 18 + Vite 5 + Tailwind CSS，组件化开发，Android Kotlin WebView 套壳（含文件选择、录音权限）；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状态管理：Context + useReducer（appStore），支持 BACK/GO 路由、Toast、持久化；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数据层：repository 统一出口，mockData 与 apiService 双实现，VITE_USE_MOCK 切换演示/真实模式；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本地存储：localStorage（history/regions/batches），启动水合避免覆盖（skipFirstPersist）。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13.2 数据契约守护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frontend/tests/dataContract.test.js 守护字段契约（species/indices/livability/heatmap/mapPoints/history），前端 mock 与后端响应结构不一致时测试立即失败，保证双数据源口径一致。</w:t>
      </w:r>
    </w:p>
    <w:p>
      <w:r>
        <w:rPr>
          <w:rFonts w:ascii="Times New Roman" w:hAnsi="Times New Roman" w:eastAsia="宋体"/>
          <w:b/>
          <w:i w:val="0"/>
          <w:color w:val="22332A"/>
          <w:sz w:val="26"/>
        </w:rPr>
        <w:t>13.3 页面清单</w:t>
      </w:r>
    </w:p>
    <w:p>
      <w:pPr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首页 / 录音（实时+导入）/ 分析中 / 结果 / 物种清单 / 声学指数 / 时间热力图 / 宜居度详情 / 地区记录 / 地图（选点）/ 鸟种图鉴（121 种）/ 登录 / 设置 / 使用说明 / 样例音频 / 方法学。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十四、公共地图网页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MapLibre GL 渲染，高德栅格瓦片经后端 /api/tiles/* 代理（避免跨域与 Key 暴露）；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聚合点 circle 层：颜色按宜居度渐变（&lt;50 红、50-70 琥珀、≥70 绿），半径按 sqrt(n) 缩放；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面板体系：图鉴 / 对比 / 趋势 / 简报 / 看板 / Top10 / 分享；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导出：聚合 CSV + 明细 CSV（UTF-8 BOM，8 列全维度）；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移动端：@media(max-width:700px) 全量自适应。</w:t>
      </w:r>
    </w:p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十五、部署与运维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生产环境：阿里云轻量应用服务器（2C2G，Alibaba Cloud Linux 3），容器化部署（podman-docker 兼容层）；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数据持久化：Docker 命名卷 /app/data（SQLite 文件 + 模型），容器重建数据不丢；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更新机制：服务器 /root/update.sh（备份 db → 拉新镜像 → 重建容器 → healthz 校验）；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HTTPS：nginx 反代 8000（域名 caurmosi.top，免费证书自动续期）；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镜像构建：GitHub Actions 推送 ghcr.io，后端镜像 + Android APK 自动打包；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多后端并存：Sealos（备份/过渡）与阿里云（生产）双后端，网页 API_BASE 可配置。</w:t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十六、测试与质量保障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04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1361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规模</w:t>
            </w:r>
          </w:p>
        </w:tc>
        <w:tc>
          <w:tcPr>
            <w:tcW w:type="dxa" w:w="1928"/>
            <w:shd w:val="clear" w:fill="1B5E3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后端单元/集成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pytest + FastAPI TestClient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124 用例全绿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识别、指数、宜居度、聚合、隐私、统计、同步、鉴权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前端单元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node --test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347 用例全绿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reducer、契约、联动、导出、本地化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数据契约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dataContract.test.js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守护字段结构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mock 与真实 API 口径一致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算法校准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test_indices.py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锚点回归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好/差样地评分区间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E2E 验证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curl + 公网实测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部署后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indices/tiles/login/clusters/export 全通</w:t>
            </w:r>
          </w:p>
        </w:tc>
      </w:tr>
    </w:tbl>
    <w:p>
      <w:r>
        <w:br w:type="page"/>
      </w:r>
    </w:p>
    <w:p>
      <w:r>
        <w:rPr>
          <w:rFonts w:ascii="Times New Roman" w:hAnsi="Times New Roman" w:eastAsia="宋体"/>
          <w:b/>
          <w:i w:val="0"/>
          <w:color w:val="1B5E3F"/>
          <w:sz w:val="32"/>
        </w:rPr>
        <w:t>十七、参考文献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[1] Pieretti, N., Farina, A., Morri, D. (2011). A new methodology to infer the singing activity of an avian community: The Acoustic Complexity Index (ACI). Ecological Indicators, 11(3), 868-873.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[2] Kasten, E.P., Gage, S.H., Fox, J., Joo, W. (2012). The remote environmental assessment laboratory's acoustic library: An archive for studying soundscape ecology. Ecological Informatics, 12, 50-67.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[3] Villanueva-Rivera, L.J., Pijanowski, B.C., Doucette, J., Pekin, B. (2011). A primer of acoustic analysis for landscape ecologists. Landscape Ecology, 26(9), 1233-1246.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[4] Sueur, J., Pavoine, S., Hamerlynck, O., Duvail, S. (2008). Rapid acoustic survey for biodiversity appraisal. PLoS ONE, 3(12), e4065.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[5] Kahl, S., Wood, C.M., Eibl, M., Klinck, H. (2021). BirdNET: A deep learning solution for avian diversity monitoring. Ecological Informatics, 61, 101236.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[6] Klinck, H., Kahl, S. (2023). BirdNET V2.4 model &amp; documentation (TFLite). Cornell Lab of Ornithology / Chemnitz University of Technology.</w:t>
      </w:r>
    </w:p>
    <w:p>
      <w:pPr>
        <w:spacing w:after="60"/>
        <w:ind w:left="170"/>
      </w:pPr>
      <w:r>
        <w:rPr>
          <w:rFonts w:ascii="Times New Roman" w:hAnsi="Times New Roman" w:eastAsia="宋体"/>
          <w:b w:val="0"/>
          <w:i w:val="0"/>
          <w:sz w:val="21"/>
        </w:rPr>
        <w:t>[7] Pijanowski, B.C., et al. (2011). Soundscape ecology: The science of sound in the landscape. BioScience, 61(3), 203-216.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