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93445" w14:textId="67D053AC" w:rsidR="00EC3DFB" w:rsidRPr="002978F0" w:rsidRDefault="00342143">
      <w:pPr>
        <w:rPr>
          <w:rFonts w:ascii="Arial" w:hAnsi="Arial" w:cs="Arial"/>
          <w:b/>
          <w:color w:val="000000" w:themeColor="text1"/>
        </w:rPr>
      </w:pPr>
      <w:r w:rsidRPr="002978F0">
        <w:rPr>
          <w:rFonts w:ascii="Arial" w:hAnsi="Arial" w:cs="Arial"/>
          <w:b/>
          <w:color w:val="000000" w:themeColor="text1"/>
        </w:rPr>
        <w:t xml:space="preserve">Analytic </w:t>
      </w:r>
      <w:r w:rsidR="00EC3DFB" w:rsidRPr="002978F0">
        <w:rPr>
          <w:rFonts w:ascii="Arial" w:hAnsi="Arial" w:cs="Arial"/>
          <w:b/>
          <w:color w:val="000000" w:themeColor="text1"/>
        </w:rPr>
        <w:t>Program Directory</w:t>
      </w:r>
    </w:p>
    <w:p w14:paraId="6796B5E6" w14:textId="77777777" w:rsidR="00342143" w:rsidRPr="002978F0" w:rsidRDefault="00342143" w:rsidP="00342143">
      <w:pPr>
        <w:rPr>
          <w:rFonts w:ascii="Arial" w:hAnsi="Arial" w:cs="Arial"/>
          <w:color w:val="000000"/>
        </w:rPr>
      </w:pPr>
    </w:p>
    <w:p w14:paraId="725D39F1" w14:textId="4A9883F1" w:rsidR="00342143" w:rsidRPr="002978F0" w:rsidRDefault="00342143" w:rsidP="00342143">
      <w:pPr>
        <w:rPr>
          <w:rFonts w:ascii="Arial" w:hAnsi="Arial" w:cs="Arial"/>
          <w:color w:val="000000" w:themeColor="text1"/>
        </w:rPr>
      </w:pPr>
      <w:r w:rsidRPr="002978F0">
        <w:rPr>
          <w:rFonts w:ascii="Arial" w:hAnsi="Arial" w:cs="Arial"/>
          <w:b/>
          <w:bCs/>
          <w:color w:val="000000"/>
        </w:rPr>
        <w:t xml:space="preserve">Publication: </w:t>
      </w:r>
      <w:r w:rsidR="00A162C5">
        <w:rPr>
          <w:rFonts w:ascii="Arial" w:hAnsi="Arial" w:cs="Arial"/>
          <w:color w:val="222222"/>
          <w:sz w:val="20"/>
          <w:szCs w:val="20"/>
          <w:shd w:val="clear" w:color="auto" w:fill="FFFFFF"/>
        </w:rPr>
        <w:t>Guo, F., McGee, E. E., Chiu, Y. H., Giovannucci, E., Mucci, L. A., &amp; Dickerman, B. A. (2024). Evaluating recommendation-based dietary and physical activity strategies for prostate cancer prevention: a target trial emulation in the Health Professionals Follow-up Study. </w:t>
      </w:r>
      <w:r w:rsidR="00A162C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 Journal of Epidemiology</w:t>
      </w:r>
      <w:r w:rsidR="00A162C5">
        <w:rPr>
          <w:rFonts w:ascii="Arial" w:hAnsi="Arial" w:cs="Arial"/>
          <w:color w:val="222222"/>
          <w:sz w:val="20"/>
          <w:szCs w:val="20"/>
          <w:shd w:val="clear" w:color="auto" w:fill="FFFFFF"/>
        </w:rPr>
        <w:t>, kwae184.</w:t>
      </w:r>
    </w:p>
    <w:p w14:paraId="5279D007" w14:textId="262E8E96" w:rsidR="00C7393F" w:rsidRPr="00C0010B" w:rsidRDefault="00C7393F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16"/>
        <w:gridCol w:w="7454"/>
      </w:tblGrid>
      <w:tr w:rsidR="00F54750" w:rsidRPr="00C0010B" w14:paraId="473A4588" w14:textId="77777777" w:rsidTr="00F54750">
        <w:tc>
          <w:tcPr>
            <w:tcW w:w="2277" w:type="pct"/>
            <w:shd w:val="clear" w:color="auto" w:fill="000000" w:themeFill="text1"/>
          </w:tcPr>
          <w:p w14:paraId="7FA5EEE4" w14:textId="52181FCD" w:rsidR="009C1D45" w:rsidRPr="00A122B8" w:rsidRDefault="00661748" w:rsidP="009C1D4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122B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Table/Figure #</w:t>
            </w:r>
            <w:r w:rsidR="009C1D45" w:rsidRPr="00A122B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2723" w:type="pct"/>
            <w:shd w:val="clear" w:color="auto" w:fill="000000" w:themeFill="text1"/>
          </w:tcPr>
          <w:p w14:paraId="1BCA9EC9" w14:textId="16B06A05" w:rsidR="009C1D45" w:rsidRPr="00A122B8" w:rsidRDefault="00802452" w:rsidP="009C1D4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A122B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Program </w:t>
            </w:r>
            <w:r w:rsidR="00661748" w:rsidRPr="00A122B8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</w:tr>
      <w:tr w:rsidR="00F54750" w:rsidRPr="00C0010B" w14:paraId="4C79A9C4" w14:textId="77777777" w:rsidTr="00F54750">
        <w:tc>
          <w:tcPr>
            <w:tcW w:w="2277" w:type="pct"/>
          </w:tcPr>
          <w:p w14:paraId="059A9C88" w14:textId="4303ED14" w:rsidR="0030675E" w:rsidRPr="00F54750" w:rsidRDefault="00F54750" w:rsidP="00F547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1.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Specification and emulation of a target trial of World Cancer Research Fund/American Institute for Cancer Research 2018 physical activity and dietary recommendations and prostate cancer risk using observational data from the Health Professionals Follow-up Study (1990-2016).</w:t>
            </w:r>
          </w:p>
        </w:tc>
        <w:tc>
          <w:tcPr>
            <w:tcW w:w="2723" w:type="pct"/>
          </w:tcPr>
          <w:p w14:paraId="1773B1D3" w14:textId="08752FA6" w:rsidR="0030675E" w:rsidRPr="00F54750" w:rsidRDefault="0030675E" w:rsidP="00F547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sz w:val="20"/>
                <w:szCs w:val="20"/>
              </w:rPr>
              <w:t xml:space="preserve">N/A </w:t>
            </w:r>
          </w:p>
        </w:tc>
      </w:tr>
      <w:tr w:rsidR="00F54750" w:rsidRPr="00C0010B" w14:paraId="545F519B" w14:textId="77777777" w:rsidTr="00F54750">
        <w:tc>
          <w:tcPr>
            <w:tcW w:w="2277" w:type="pct"/>
          </w:tcPr>
          <w:p w14:paraId="2F542E3D" w14:textId="7B1B0B3C" w:rsidR="00AE65EB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2.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Baseline characteristics of 27,859 eligible individuals when emulating a target trial of recommendation-based physical activity and dietary strategies and prostate cancer risk, Health Professionals Follow-up Study (1990).</w:t>
            </w:r>
          </w:p>
        </w:tc>
        <w:tc>
          <w:tcPr>
            <w:tcW w:w="2723" w:type="pct"/>
          </w:tcPr>
          <w:p w14:paraId="4B7EA3D0" w14:textId="35A6F2AB" w:rsidR="00AE65EB" w:rsidRPr="00F54750" w:rsidRDefault="00AE65EB" w:rsidP="00AE65E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table2_baseline_characteristics.R</w:t>
            </w:r>
          </w:p>
        </w:tc>
      </w:tr>
      <w:tr w:rsidR="00F54750" w:rsidRPr="00C0010B" w14:paraId="257B8AFF" w14:textId="77777777" w:rsidTr="00F54750">
        <w:tc>
          <w:tcPr>
            <w:tcW w:w="2277" w:type="pct"/>
          </w:tcPr>
          <w:p w14:paraId="67CA887D" w14:textId="28A7777B" w:rsidR="00AE65EB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3.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E45A4">
              <w:rPr>
                <w:rFonts w:ascii="Arial" w:hAnsi="Arial" w:cs="Arial"/>
                <w:sz w:val="20"/>
                <w:szCs w:val="20"/>
              </w:rPr>
              <w:t>Estimated 26-year risks of prostate cancer outcomes under recommendation-based physical activity</w:t>
            </w:r>
            <w:r w:rsidRPr="00F54750">
              <w:rPr>
                <w:rFonts w:ascii="Arial" w:hAnsi="Arial" w:cs="Arial"/>
                <w:sz w:val="20"/>
                <w:szCs w:val="20"/>
              </w:rPr>
              <w:t>b</w:t>
            </w:r>
            <w:r w:rsidRPr="00EE45A4">
              <w:rPr>
                <w:rFonts w:ascii="Arial" w:hAnsi="Arial" w:cs="Arial"/>
                <w:sz w:val="20"/>
                <w:szCs w:val="20"/>
              </w:rPr>
              <w:t xml:space="preserve"> and dietary strategies, Health Professionals Follow-up Study (1990-2016).</w:t>
            </w:r>
          </w:p>
        </w:tc>
        <w:tc>
          <w:tcPr>
            <w:tcW w:w="2723" w:type="pct"/>
          </w:tcPr>
          <w:p w14:paraId="40B35A71" w14:textId="58CEF301" w:rsidR="00AE65EB" w:rsidRPr="00F54750" w:rsidRDefault="00AE65EB" w:rsidP="00AE65EB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main_analysis_C_D_Y/read_gformula_results.R</w:t>
            </w:r>
          </w:p>
          <w:p w14:paraId="3BA16CA7" w14:textId="300D0C68" w:rsidR="00AE65EB" w:rsidRPr="00F54750" w:rsidRDefault="00AE65EB" w:rsidP="00AE65EB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main_analysis_C_D_Y/gformula_tot_1115.R</w:t>
            </w:r>
          </w:p>
          <w:p w14:paraId="3AD22713" w14:textId="7FA1B5BD" w:rsidR="00AE65EB" w:rsidRPr="00F54750" w:rsidRDefault="00AE65EB" w:rsidP="00AE65EB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main_analysis_C_D_Y/gformula_adv_1115.R</w:t>
            </w:r>
          </w:p>
          <w:p w14:paraId="742D3630" w14:textId="79C60A32" w:rsidR="00AE65EB" w:rsidRPr="00F54750" w:rsidRDefault="00AE65EB" w:rsidP="00AE65EB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main_analysis_C_D_Y/gformula_lethal_1115.R</w:t>
            </w:r>
          </w:p>
          <w:p w14:paraId="5FE313CD" w14:textId="3D8207A4" w:rsidR="00AE65EB" w:rsidRPr="00F54750" w:rsidRDefault="00AE65EB" w:rsidP="00AE65EB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main_analysis_C_D_Y/gformula_fatal_1115.R</w:t>
            </w:r>
          </w:p>
        </w:tc>
      </w:tr>
      <w:tr w:rsidR="00F54750" w:rsidRPr="00C0010B" w14:paraId="7EE9E1E6" w14:textId="77777777" w:rsidTr="00F54750">
        <w:tc>
          <w:tcPr>
            <w:tcW w:w="2277" w:type="pct"/>
          </w:tcPr>
          <w:p w14:paraId="2573DD68" w14:textId="6D8C3F8B" w:rsidR="00F54750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1.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A causal directed acyclic graph representing observed data generating assumptions under which competing events may mediate the effect of treatment A on the event of interest Y and exchangeability holds such that a controlled direct effect may be identified.</w:t>
            </w:r>
          </w:p>
        </w:tc>
        <w:tc>
          <w:tcPr>
            <w:tcW w:w="2723" w:type="pct"/>
          </w:tcPr>
          <w:p w14:paraId="6901A37D" w14:textId="0929B6E8" w:rsidR="00F54750" w:rsidRPr="00F54750" w:rsidRDefault="00F54750" w:rsidP="00AE65EB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54750" w:rsidRPr="00C0010B" w14:paraId="1B68D28B" w14:textId="77777777" w:rsidTr="00F54750">
        <w:tc>
          <w:tcPr>
            <w:tcW w:w="2277" w:type="pct"/>
          </w:tcPr>
          <w:p w14:paraId="2A40A757" w14:textId="77777777" w:rsidR="00F54750" w:rsidRPr="00F54750" w:rsidRDefault="00F54750" w:rsidP="00F547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2.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Flowchart for selection of eligible individuals from the Health Professionals Follow-up Study when emulating a target trial of recommendation-based physical activity and </w:t>
            </w:r>
            <w:r w:rsidRPr="00F54750">
              <w:rPr>
                <w:rFonts w:ascii="Arial" w:hAnsi="Arial" w:cs="Arial"/>
                <w:sz w:val="20"/>
                <w:szCs w:val="20"/>
              </w:rPr>
              <w:lastRenderedPageBreak/>
              <w:t>dietary strategies and prostate cancer risk.</w:t>
            </w:r>
          </w:p>
          <w:p w14:paraId="4882A90C" w14:textId="6C6CF003" w:rsidR="00AE65EB" w:rsidRPr="00F54750" w:rsidRDefault="00AE65EB" w:rsidP="00F547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3" w:type="pct"/>
          </w:tcPr>
          <w:p w14:paraId="579C1F47" w14:textId="136A3708" w:rsidR="00AE65EB" w:rsidRPr="00F54750" w:rsidRDefault="009B592C" w:rsidP="00F547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</w:tr>
      <w:tr w:rsidR="00F54750" w:rsidRPr="00C0010B" w14:paraId="1BF64890" w14:textId="77777777" w:rsidTr="00F54750">
        <w:tc>
          <w:tcPr>
            <w:tcW w:w="2277" w:type="pct"/>
          </w:tcPr>
          <w:p w14:paraId="02CB1D59" w14:textId="0BC100DE" w:rsidR="00AE65EB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3.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Estimated 26-year risk differences for prostate cancer outcomes, comparing recommendation-based intervention strategies vs. no intervention, Health Professionals Follow-up Study (1990-2016).</w:t>
            </w:r>
          </w:p>
        </w:tc>
        <w:tc>
          <w:tcPr>
            <w:tcW w:w="2723" w:type="pct"/>
          </w:tcPr>
          <w:p w14:paraId="4531A0E5" w14:textId="1FEB1373" w:rsidR="00AE65EB" w:rsidRPr="00F54750" w:rsidRDefault="00AE65EB" w:rsidP="00AE65E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gformula_figure_RD.R</w:t>
            </w:r>
          </w:p>
        </w:tc>
      </w:tr>
      <w:tr w:rsidR="00F54750" w:rsidRPr="00C0010B" w14:paraId="07BC0CB7" w14:textId="77777777" w:rsidTr="00F54750">
        <w:tc>
          <w:tcPr>
            <w:tcW w:w="2277" w:type="pct"/>
          </w:tcPr>
          <w:p w14:paraId="5CB95BA2" w14:textId="18539D5A" w:rsidR="00F54750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S1.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2018 World Cancer Research Fund/American Institute for Cancer Research (WCRF/AICR) Cancer Prevention Recommendations and their operationalization using observational data from the Health Professionals Follow-up Study</w:t>
            </w:r>
          </w:p>
        </w:tc>
        <w:tc>
          <w:tcPr>
            <w:tcW w:w="2723" w:type="pct"/>
          </w:tcPr>
          <w:p w14:paraId="4DFD4139" w14:textId="73C1B7CA" w:rsidR="00F54750" w:rsidRPr="00F54750" w:rsidRDefault="00F54750" w:rsidP="00AE65E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54750" w:rsidRPr="00C0010B" w14:paraId="543924AC" w14:textId="77777777" w:rsidTr="00F54750">
        <w:tc>
          <w:tcPr>
            <w:tcW w:w="2277" w:type="pct"/>
          </w:tcPr>
          <w:p w14:paraId="1FDD518D" w14:textId="785CBD95" w:rsidR="00F54750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S2.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Variables used to model 26-year risk of prostate cancer outcomes, Health Professional Follow-Up Study</w:t>
            </w:r>
          </w:p>
        </w:tc>
        <w:tc>
          <w:tcPr>
            <w:tcW w:w="2723" w:type="pct"/>
          </w:tcPr>
          <w:p w14:paraId="088E3FFB" w14:textId="4E0CE0C9" w:rsidR="00F54750" w:rsidRPr="00F54750" w:rsidRDefault="00F54750" w:rsidP="00AE65E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54750" w:rsidRPr="00C0010B" w14:paraId="2FCAC859" w14:textId="77777777" w:rsidTr="00F54750">
        <w:tc>
          <w:tcPr>
            <w:tcW w:w="2277" w:type="pct"/>
          </w:tcPr>
          <w:p w14:paraId="1C800800" w14:textId="027093D9" w:rsidR="00AE65EB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S3.</w:t>
            </w:r>
            <w:r w:rsidRPr="00FB0D1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Total number of person-years, events</w:t>
            </w:r>
            <w:r w:rsidRPr="00FB0D1D">
              <w:rPr>
                <w:rFonts w:ascii="Arial" w:hAnsi="Arial" w:cs="Arial"/>
                <w:sz w:val="20"/>
                <w:szCs w:val="20"/>
              </w:rPr>
              <w:t>, loss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Pr="00FB0D1D">
              <w:rPr>
                <w:rFonts w:ascii="Arial" w:hAnsi="Arial" w:cs="Arial"/>
                <w:sz w:val="20"/>
                <w:szCs w:val="20"/>
              </w:rPr>
              <w:t xml:space="preserve"> to follow-up, </w:t>
            </w:r>
            <w:r>
              <w:rPr>
                <w:rFonts w:ascii="Arial" w:hAnsi="Arial" w:cs="Arial"/>
                <w:sz w:val="20"/>
                <w:szCs w:val="20"/>
              </w:rPr>
              <w:t>deaths due to other (non-prostate) causes (competing events),</w:t>
            </w:r>
            <w:r w:rsidRPr="00FB0D1D">
              <w:rPr>
                <w:rFonts w:ascii="Arial" w:hAnsi="Arial" w:cs="Arial"/>
                <w:sz w:val="20"/>
                <w:szCs w:val="20"/>
              </w:rPr>
              <w:t xml:space="preserve"> and administrative censoring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FB0D1D">
              <w:rPr>
                <w:rFonts w:ascii="Arial" w:hAnsi="Arial" w:cs="Arial"/>
                <w:sz w:val="20"/>
                <w:szCs w:val="20"/>
              </w:rPr>
              <w:t xml:space="preserve"> during the 26-y</w:t>
            </w:r>
            <w:r>
              <w:rPr>
                <w:rFonts w:ascii="Arial" w:hAnsi="Arial" w:cs="Arial"/>
                <w:sz w:val="20"/>
                <w:szCs w:val="20"/>
              </w:rPr>
              <w:t>ear</w:t>
            </w:r>
            <w:r w:rsidRPr="00FB0D1D">
              <w:rPr>
                <w:rFonts w:ascii="Arial" w:hAnsi="Arial" w:cs="Arial"/>
                <w:sz w:val="20"/>
                <w:szCs w:val="20"/>
              </w:rPr>
              <w:t xml:space="preserve"> follow-up</w:t>
            </w:r>
            <w:r w:rsidRPr="00B4012A">
              <w:rPr>
                <w:rFonts w:ascii="Arial" w:hAnsi="Arial" w:cs="Arial"/>
                <w:sz w:val="20"/>
                <w:szCs w:val="20"/>
              </w:rPr>
              <w:t>, Health Professionals Follow-up Study</w:t>
            </w:r>
          </w:p>
        </w:tc>
        <w:tc>
          <w:tcPr>
            <w:tcW w:w="2723" w:type="pct"/>
          </w:tcPr>
          <w:p w14:paraId="76BF9BD9" w14:textId="69DE2128" w:rsidR="00AE65EB" w:rsidRPr="00F54750" w:rsidRDefault="00AE65EB" w:rsidP="00AE65E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Number_Competing_Censoring_Events.R</w:t>
            </w:r>
          </w:p>
        </w:tc>
      </w:tr>
      <w:tr w:rsidR="00F54750" w:rsidRPr="00C0010B" w14:paraId="5F46EF4D" w14:textId="77777777" w:rsidTr="00F54750">
        <w:tc>
          <w:tcPr>
            <w:tcW w:w="2277" w:type="pct"/>
          </w:tcPr>
          <w:p w14:paraId="55FAF209" w14:textId="78F6B503" w:rsidR="00AE65EB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S4.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Percentage of men intervened on under the 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recommendation-based physical activity and dietary 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strategies in the primary analysis for total prostate cancer, </w:t>
            </w:r>
            <w:r w:rsidRPr="00965236">
              <w:rPr>
                <w:rFonts w:ascii="Arial" w:hAnsi="Arial" w:cs="Arial"/>
                <w:sz w:val="20"/>
                <w:szCs w:val="20"/>
              </w:rPr>
              <w:t>Health Professionals Follow-up Study</w:t>
            </w:r>
          </w:p>
        </w:tc>
        <w:tc>
          <w:tcPr>
            <w:tcW w:w="2723" w:type="pct"/>
          </w:tcPr>
          <w:p w14:paraId="17241BB0" w14:textId="0E5DB79A" w:rsidR="00AE65EB" w:rsidRPr="00F54750" w:rsidRDefault="00AE65EB" w:rsidP="00AE65E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check_%_to_be_intervened_on.R</w:t>
            </w:r>
          </w:p>
        </w:tc>
      </w:tr>
      <w:tr w:rsidR="00F54750" w:rsidRPr="00C0010B" w14:paraId="13025D0C" w14:textId="77777777" w:rsidTr="00F54750">
        <w:tc>
          <w:tcPr>
            <w:tcW w:w="2277" w:type="pct"/>
          </w:tcPr>
          <w:p w14:paraId="60165A8B" w14:textId="2FD67260" w:rsidR="00AE65EB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S5.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Estimated 26-year risk differences for prostate cancer outcomes, comparing specific components of the physical activity and dietary recommendations vs. no intervention, Health </w:t>
            </w:r>
            <w:r w:rsidRPr="00965236">
              <w:rPr>
                <w:rFonts w:ascii="Arial" w:hAnsi="Arial" w:cs="Arial"/>
                <w:sz w:val="20"/>
                <w:szCs w:val="20"/>
              </w:rPr>
              <w:lastRenderedPageBreak/>
              <w:t>Professionals Follow-up Study</w:t>
            </w:r>
          </w:p>
        </w:tc>
        <w:tc>
          <w:tcPr>
            <w:tcW w:w="2723" w:type="pct"/>
          </w:tcPr>
          <w:p w14:paraId="22E0B254" w14:textId="0845BCA2" w:rsidR="00AE65EB" w:rsidRPr="00F54750" w:rsidRDefault="00AE65EB" w:rsidP="00232B8E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main_analysis_C_D_Y/read_gformula_results.R</w:t>
            </w:r>
          </w:p>
          <w:p w14:paraId="212606E0" w14:textId="354D3DE0" w:rsidR="00AE65EB" w:rsidRPr="00F54750" w:rsidRDefault="00AE65EB" w:rsidP="00232B8E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main_analysis_C_D_Y/gformula_tot_1115.R</w:t>
            </w:r>
          </w:p>
          <w:p w14:paraId="4AE2885B" w14:textId="0379AEA7" w:rsidR="00AE65EB" w:rsidRPr="00F54750" w:rsidRDefault="00AE65EB" w:rsidP="00232B8E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main_analysis_C_D_Y/gformula_adv_1115.R</w:t>
            </w:r>
          </w:p>
          <w:p w14:paraId="6F95E1C0" w14:textId="2ABBF2E5" w:rsidR="00AE65EB" w:rsidRPr="00F54750" w:rsidRDefault="00AE65EB" w:rsidP="00232B8E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main_analysis_C_D_Y/gformula_lethal_1115.R</w:t>
            </w:r>
          </w:p>
          <w:p w14:paraId="549C80B4" w14:textId="569A3EED" w:rsidR="00AE65EB" w:rsidRPr="00F54750" w:rsidRDefault="00AE65EB" w:rsidP="00AE65EB">
            <w:pPr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main_analysis_C_D_Y/gformula_fatal_1115.R</w:t>
            </w:r>
          </w:p>
        </w:tc>
      </w:tr>
      <w:tr w:rsidR="00F54750" w:rsidRPr="00C0010B" w14:paraId="4510935F" w14:textId="77777777" w:rsidTr="00F54750">
        <w:tc>
          <w:tcPr>
            <w:tcW w:w="2277" w:type="pct"/>
          </w:tcPr>
          <w:p w14:paraId="13ECFE51" w14:textId="63AD36C8" w:rsidR="00AE65EB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S6.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Secondary analyses to estimate controlled direct effects: Estimated 26-year risk differences for prostate cancer outcomes, comparing specific components of the physical activity and dietary recommendations vs. no intervention, Health Professionals Follow-up Study</w:t>
            </w:r>
          </w:p>
        </w:tc>
        <w:tc>
          <w:tcPr>
            <w:tcW w:w="2723" w:type="pct"/>
          </w:tcPr>
          <w:p w14:paraId="58C6CBDD" w14:textId="766CE595" w:rsidR="00AE65EB" w:rsidRPr="00F54750" w:rsidRDefault="00AE65EB" w:rsidP="00547E7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controlled_direct_effect/read_gformula_results.R</w:t>
            </w:r>
          </w:p>
          <w:p w14:paraId="5D87BC38" w14:textId="4AB07D04" w:rsidR="00AE65EB" w:rsidRPr="00F54750" w:rsidRDefault="00AE65EB" w:rsidP="00547E7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controlled_direct_effect/gformula_tot_1115.R</w:t>
            </w:r>
          </w:p>
          <w:p w14:paraId="3B4C8F81" w14:textId="1FC013C0" w:rsidR="00AE65EB" w:rsidRPr="00F54750" w:rsidRDefault="00AE65EB" w:rsidP="00547E7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controlled_direct_effect/gformula_adv_1115.R</w:t>
            </w:r>
          </w:p>
          <w:p w14:paraId="032A1591" w14:textId="0D78FA23" w:rsidR="00AE65EB" w:rsidRPr="00F54750" w:rsidRDefault="00AE65EB" w:rsidP="00547E7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controlled_direct_effect/gformula_lethal_1115.R</w:t>
            </w:r>
          </w:p>
          <w:p w14:paraId="05E53435" w14:textId="068ECC68" w:rsidR="00AE65EB" w:rsidRPr="00F54750" w:rsidRDefault="00AE65EB" w:rsidP="00AE65EB">
            <w:pPr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controlled_direct_effect/gformula_fatal_1115.R</w:t>
            </w:r>
          </w:p>
        </w:tc>
      </w:tr>
      <w:tr w:rsidR="00F54750" w:rsidRPr="00C0010B" w14:paraId="08ED68D3" w14:textId="77777777" w:rsidTr="00F54750">
        <w:tc>
          <w:tcPr>
            <w:tcW w:w="2277" w:type="pct"/>
          </w:tcPr>
          <w:p w14:paraId="34240199" w14:textId="7F84838B" w:rsidR="00AE65EB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S7.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Secondary analyses of “low-adherence” strategies: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Estimated 26-year risk differences for prostate cancer outcomes, comparing specific components of the physical activity and dietary recommendations vs. low adherence to the recommendations, Health Professionals Follow-up Study</w:t>
            </w:r>
          </w:p>
        </w:tc>
        <w:tc>
          <w:tcPr>
            <w:tcW w:w="2723" w:type="pct"/>
          </w:tcPr>
          <w:p w14:paraId="3D934181" w14:textId="6CD3B352" w:rsidR="00AE65EB" w:rsidRPr="00F54750" w:rsidRDefault="00AE65EB" w:rsidP="00547E7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sens_low_adherence_total_effects/read_gformula_results.R</w:t>
            </w:r>
          </w:p>
          <w:p w14:paraId="5544C5DB" w14:textId="2606F82B" w:rsidR="00AE65EB" w:rsidRPr="00F54750" w:rsidRDefault="00AE65EB" w:rsidP="00547E7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sens_low_adherence_total_effects/gformula_low_adherence_tot.R</w:t>
            </w:r>
          </w:p>
          <w:p w14:paraId="4A675426" w14:textId="04466DBB" w:rsidR="00AE65EB" w:rsidRPr="00F54750" w:rsidRDefault="00AE65EB" w:rsidP="00547E7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sens_low_adherence_total_effects/gformula_low_adherence_adv.R</w:t>
            </w:r>
          </w:p>
          <w:p w14:paraId="79141DBA" w14:textId="30AC7D1F" w:rsidR="00AE65EB" w:rsidRPr="00F54750" w:rsidRDefault="00AE65EB" w:rsidP="00547E7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sens_low_adherence_total_effects/gformula_low_adherence_lethal.R</w:t>
            </w:r>
          </w:p>
          <w:p w14:paraId="645E18E1" w14:textId="587F0756" w:rsidR="00AE65EB" w:rsidRPr="00F54750" w:rsidRDefault="00AE65EB" w:rsidP="00AE65EB">
            <w:pPr>
              <w:rPr>
                <w:rFonts w:ascii="Arial" w:eastAsia="Times New Roman" w:hAnsi="Arial" w:cs="Arial" w:hint="eastAsia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sens_low_adherence_total_effects/gformula_low_adherence_fatal.R</w:t>
            </w:r>
          </w:p>
        </w:tc>
      </w:tr>
      <w:tr w:rsidR="00F54750" w:rsidRPr="00C0010B" w14:paraId="683F9EE0" w14:textId="77777777" w:rsidTr="00F54750">
        <w:tc>
          <w:tcPr>
            <w:tcW w:w="2277" w:type="pct"/>
          </w:tcPr>
          <w:p w14:paraId="5895F00B" w14:textId="30A79A89" w:rsidR="00AE65EB" w:rsidRPr="00F54750" w:rsidRDefault="00F54750" w:rsidP="00AE65E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S8.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965236">
              <w:rPr>
                <w:rFonts w:ascii="Arial" w:hAnsi="Arial" w:cs="Arial"/>
                <w:sz w:val="20"/>
                <w:szCs w:val="20"/>
              </w:rPr>
              <w:t>ensitivity analyses for potential confounding: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Estimated 26-year risks of prostate cancer outcomes under recommendation-based physical activity and dietary strategies, Health Professionals Follow-up Study</w:t>
            </w:r>
          </w:p>
        </w:tc>
        <w:tc>
          <w:tcPr>
            <w:tcW w:w="2723" w:type="pct"/>
          </w:tcPr>
          <w:p w14:paraId="62AABF3E" w14:textId="44A6A50C" w:rsidR="00AE65EB" w:rsidRPr="00F54750" w:rsidRDefault="00AE65EB" w:rsidP="00AE65EB">
            <w:pPr>
              <w:pStyle w:val="ListParagraph"/>
              <w:numPr>
                <w:ilvl w:val="0"/>
                <w:numId w:val="6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sens_dynamic_strategy/read_gformula_results.R</w:t>
            </w:r>
          </w:p>
          <w:p w14:paraId="4B779C44" w14:textId="26BEA52C" w:rsidR="00AE65EB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sens_dynamic_strategy/gformula_dynamic_tot_adv.R</w:t>
            </w:r>
          </w:p>
          <w:p w14:paraId="46B2C860" w14:textId="1A802A75" w:rsidR="00AE65EB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sens_dynamic_strategy/gformula_dynamic_lethal_fatal.R</w:t>
            </w:r>
          </w:p>
          <w:p w14:paraId="53BDE563" w14:textId="36229164" w:rsidR="00AE65EB" w:rsidRPr="00F54750" w:rsidRDefault="00AE65EB" w:rsidP="00AE65EB">
            <w:pPr>
              <w:pStyle w:val="ListParagraph"/>
              <w:numPr>
                <w:ilvl w:val="0"/>
                <w:numId w:val="6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sens_xcond3/read_gformula_results.R</w:t>
            </w:r>
          </w:p>
          <w:p w14:paraId="3715F0FD" w14:textId="48F173A4" w:rsidR="00AE65EB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sens_xcond3/gformula_xcond3_tot_adv.R</w:t>
            </w:r>
          </w:p>
          <w:p w14:paraId="5FCAF492" w14:textId="5A9CFBB2" w:rsidR="00AE65EB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sens_xcond3/gformula_xcond3_lethal_fatal.R</w:t>
            </w:r>
          </w:p>
          <w:p w14:paraId="08157D01" w14:textId="2987BE27" w:rsidR="00AE65EB" w:rsidRPr="00F54750" w:rsidRDefault="00AE65EB" w:rsidP="00AE65EB">
            <w:pPr>
              <w:pStyle w:val="ListParagraph"/>
              <w:numPr>
                <w:ilvl w:val="0"/>
                <w:numId w:val="6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sens_lag1_term/read_gformula_results.R</w:t>
            </w:r>
          </w:p>
          <w:p w14:paraId="3B693B6C" w14:textId="49E4D001" w:rsidR="00AE65EB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sens_lag1_term/gformula_lag1_term_tot_adv.R</w:t>
            </w:r>
          </w:p>
          <w:p w14:paraId="4F197094" w14:textId="6A0C9A17" w:rsidR="00AE65EB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sens_lag1_term/gformula_lag1_term_lethal_fatal.R</w:t>
            </w:r>
          </w:p>
          <w:p w14:paraId="1E00CF82" w14:textId="5742C345" w:rsidR="00AE65EB" w:rsidRPr="00F54750" w:rsidRDefault="00AE65EB" w:rsidP="00AE65EB">
            <w:pPr>
              <w:pStyle w:val="ListParagraph"/>
              <w:numPr>
                <w:ilvl w:val="0"/>
                <w:numId w:val="6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sens_never_smoking/read_gformula_results.R</w:t>
            </w:r>
          </w:p>
          <w:p w14:paraId="20257DBA" w14:textId="2E0A0D53" w:rsidR="00AE65EB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sens_never_smoking/gformula_nonsmk_tot_adv.R</w:t>
            </w:r>
          </w:p>
          <w:p w14:paraId="595517B2" w14:textId="7603BAFB" w:rsidR="00AE65EB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sens_never_smoking/gformula_nonsmk_lethal_fatal.R</w:t>
            </w:r>
          </w:p>
          <w:p w14:paraId="307ADA50" w14:textId="2DB889F9" w:rsidR="00AE65EB" w:rsidRPr="00F54750" w:rsidRDefault="00751FB4" w:rsidP="00AE65EB">
            <w:pPr>
              <w:pStyle w:val="ListParagraph"/>
              <w:numPr>
                <w:ilvl w:val="0"/>
                <w:numId w:val="6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</w:t>
            </w:r>
            <w:r w:rsidR="00AE65EB" w:rsidRPr="00F54750">
              <w:rPr>
                <w:rFonts w:ascii="Arial" w:eastAsia="Times New Roman" w:hAnsi="Arial" w:cs="Arial"/>
                <w:sz w:val="20"/>
                <w:szCs w:val="20"/>
              </w:rPr>
              <w:t>_age_80/read_gformula_results.R</w:t>
            </w:r>
          </w:p>
          <w:p w14:paraId="2349B5E6" w14:textId="47B2F27F" w:rsidR="006C65DE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sens_age_80/gformula_age_80_tot_adv.R</w:t>
            </w:r>
          </w:p>
          <w:p w14:paraId="0B26BD7A" w14:textId="7D9DC997" w:rsidR="00AE65EB" w:rsidRPr="00F54750" w:rsidRDefault="00AE65EB" w:rsidP="00AE65EB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sens_age_80/gformula_age_80_lethal_fatal.R</w:t>
            </w:r>
          </w:p>
        </w:tc>
      </w:tr>
      <w:tr w:rsidR="00F54750" w:rsidRPr="00C0010B" w14:paraId="5E40A194" w14:textId="77777777" w:rsidTr="00F54750">
        <w:tc>
          <w:tcPr>
            <w:tcW w:w="2277" w:type="pct"/>
          </w:tcPr>
          <w:p w14:paraId="0D3A6683" w14:textId="366A1115" w:rsidR="002D185F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S9.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Sensitivity analyses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additionally adjusting for prostate-specific antigen testing: Estimated 26-year risk differences for prostate cancer outcomes, comparing specific components of the physical activity and dietary recommendations vs. no intervention, Health Professionals Follow-up Study</w:t>
            </w:r>
          </w:p>
        </w:tc>
        <w:tc>
          <w:tcPr>
            <w:tcW w:w="2723" w:type="pct"/>
          </w:tcPr>
          <w:p w14:paraId="05E7F150" w14:textId="4EEBF16C" w:rsidR="002D185F" w:rsidRPr="00F54750" w:rsidRDefault="002D185F" w:rsidP="00551C3D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sens_psa/read_gformula_results.R</w:t>
            </w:r>
          </w:p>
          <w:p w14:paraId="2E2134A0" w14:textId="507ED4D4" w:rsidR="002D185F" w:rsidRPr="00F54750" w:rsidRDefault="002D185F" w:rsidP="00551C3D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sens_psa/gformula_tot_1115.R</w:t>
            </w:r>
          </w:p>
          <w:p w14:paraId="4AEC9832" w14:textId="3CDAC59F" w:rsidR="002D185F" w:rsidRPr="00F54750" w:rsidRDefault="002D185F" w:rsidP="00551C3D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sens_psa/gformula_adv_1115.R</w:t>
            </w:r>
          </w:p>
          <w:p w14:paraId="7197873C" w14:textId="16B4E0AA" w:rsidR="002D185F" w:rsidRPr="00F54750" w:rsidRDefault="002D185F" w:rsidP="00551C3D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sens_psa/gformula_lethal_1115.R</w:t>
            </w:r>
          </w:p>
          <w:p w14:paraId="147B6E3C" w14:textId="2B7D3983" w:rsidR="002D185F" w:rsidRPr="00F54750" w:rsidRDefault="002D185F" w:rsidP="00551C3D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sens_psa/gformula_fatal_1115.R</w:t>
            </w:r>
          </w:p>
        </w:tc>
      </w:tr>
      <w:tr w:rsidR="00F54750" w:rsidRPr="00C0010B" w14:paraId="7C3ED4B5" w14:textId="77777777" w:rsidTr="00F54750">
        <w:tc>
          <w:tcPr>
            <w:tcW w:w="2277" w:type="pct"/>
          </w:tcPr>
          <w:p w14:paraId="1ECD3382" w14:textId="7F3B124C" w:rsidR="002D185F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Table S10.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Sensitivity analyses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additionally adjusting for</w:t>
            </w:r>
            <w:r>
              <w:rPr>
                <w:rFonts w:ascii="Arial" w:hAnsi="Arial" w:cs="Arial"/>
                <w:sz w:val="20"/>
                <w:szCs w:val="20"/>
              </w:rPr>
              <w:t xml:space="preserve"> time since prostate cancer diagnosis</w:t>
            </w:r>
            <w:r w:rsidRPr="00965236">
              <w:rPr>
                <w:rFonts w:ascii="Arial" w:hAnsi="Arial" w:cs="Arial"/>
                <w:sz w:val="20"/>
                <w:szCs w:val="20"/>
              </w:rPr>
              <w:t>: Estimated 26-year risk differences for lethal and fatal prostate cancer, comparing specific components of the physical activity and dietary recommendations vs. no intervention, Health Professionals Follow-up Study</w:t>
            </w:r>
          </w:p>
        </w:tc>
        <w:tc>
          <w:tcPr>
            <w:tcW w:w="2723" w:type="pct"/>
          </w:tcPr>
          <w:p w14:paraId="31990BC5" w14:textId="6C75A7B9" w:rsidR="002D185F" w:rsidRPr="00F54750" w:rsidRDefault="002D185F" w:rsidP="00551C3D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sens_adjust_total_pca/read_gformula_results.R</w:t>
            </w:r>
          </w:p>
          <w:p w14:paraId="5765423B" w14:textId="6FD8DEDA" w:rsidR="002D185F" w:rsidRPr="00F54750" w:rsidRDefault="002D185F" w:rsidP="00551C3D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sens_adjust_total_pca/gformula_lethal_1115.</w:t>
            </w:r>
            <w:r w:rsidR="00551C3D" w:rsidRPr="00F54750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  <w:p w14:paraId="413DD5C6" w14:textId="0006DD7E" w:rsidR="002D185F" w:rsidRPr="00F54750" w:rsidRDefault="002D185F" w:rsidP="00551C3D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sens_adjust_total_pca/gformula_fatal_1115.R</w:t>
            </w:r>
          </w:p>
        </w:tc>
      </w:tr>
      <w:tr w:rsidR="00F54750" w:rsidRPr="00C0010B" w14:paraId="4EFD9922" w14:textId="77777777" w:rsidTr="00F54750">
        <w:tc>
          <w:tcPr>
            <w:tcW w:w="2277" w:type="pct"/>
          </w:tcPr>
          <w:p w14:paraId="3D3C0474" w14:textId="56BFE9AF" w:rsidR="002D185F" w:rsidRPr="00F54750" w:rsidRDefault="00F54750" w:rsidP="00F547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S11.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Other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sensitivity analyses: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Estimated 26-year risks of prostate cancer outcomes under recommendation-based physical activity and dietary strategies, Health Professionals Follow-up Study</w:t>
            </w:r>
          </w:p>
        </w:tc>
        <w:tc>
          <w:tcPr>
            <w:tcW w:w="2723" w:type="pct"/>
          </w:tcPr>
          <w:p w14:paraId="148B8765" w14:textId="21705573" w:rsidR="002D185F" w:rsidRPr="00F54750" w:rsidRDefault="002D185F" w:rsidP="002D185F">
            <w:pPr>
              <w:pStyle w:val="ListParagraph"/>
              <w:numPr>
                <w:ilvl w:val="0"/>
                <w:numId w:val="12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 xml:space="preserve">sens_no_adjusting_energy/read_gformula_results.R </w:t>
            </w:r>
          </w:p>
          <w:p w14:paraId="47D5E6DD" w14:textId="18E137F8" w:rsidR="002D185F" w:rsidRPr="00F54750" w:rsidRDefault="002D185F" w:rsidP="002D185F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 xml:space="preserve">sens_no_adjusting_energy/gformula_no_adjusting_energy_tot_adv.R </w:t>
            </w:r>
          </w:p>
          <w:p w14:paraId="74067676" w14:textId="3DF282E1" w:rsidR="002D185F" w:rsidRPr="00F54750" w:rsidRDefault="002D185F" w:rsidP="002D185F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 xml:space="preserve">sens_no_adjusting_energy/gformula_no_adjusting_energy_tot_adv.R </w:t>
            </w:r>
          </w:p>
          <w:p w14:paraId="36FB8654" w14:textId="57D6F98B" w:rsidR="002D185F" w:rsidRPr="00F54750" w:rsidRDefault="002D185F" w:rsidP="002D185F">
            <w:pPr>
              <w:pStyle w:val="ListParagraph"/>
              <w:numPr>
                <w:ilvl w:val="0"/>
                <w:numId w:val="12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sens_covprior/read_gformula_results.R</w:t>
            </w:r>
          </w:p>
          <w:p w14:paraId="6A5D08EC" w14:textId="3D4F0BC6" w:rsidR="002D185F" w:rsidRPr="00F54750" w:rsidRDefault="002D185F" w:rsidP="002D185F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sens_covprior/gformula_covprior_tot_adv.R</w:t>
            </w:r>
          </w:p>
          <w:p w14:paraId="0E2C3FB9" w14:textId="63B1FE9C" w:rsidR="002D185F" w:rsidRPr="00F54750" w:rsidRDefault="00551C3D" w:rsidP="002D185F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sens_covprior</w:t>
            </w:r>
            <w:r w:rsidR="002D185F" w:rsidRPr="00F5475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F5475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gformula_covprior</w:t>
            </w:r>
            <w:r w:rsidR="002D185F" w:rsidRPr="00F54750">
              <w:rPr>
                <w:rFonts w:ascii="Arial" w:eastAsia="Times New Roman" w:hAnsi="Arial" w:cs="Arial"/>
                <w:sz w:val="20"/>
                <w:szCs w:val="20"/>
              </w:rPr>
              <w:t>_lethal_fatal.R</w:t>
            </w:r>
          </w:p>
          <w:p w14:paraId="52954498" w14:textId="133C13C1" w:rsidR="002D185F" w:rsidRPr="00F54750" w:rsidRDefault="002D185F" w:rsidP="002D185F">
            <w:pPr>
              <w:pStyle w:val="ListParagraph"/>
              <w:numPr>
                <w:ilvl w:val="0"/>
                <w:numId w:val="12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sens_functional_form/read_gformula_results.R</w:t>
            </w:r>
          </w:p>
          <w:p w14:paraId="43755163" w14:textId="1FD10831" w:rsidR="002D185F" w:rsidRPr="00F54750" w:rsidRDefault="002D185F" w:rsidP="002D185F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sens_functional_form/gformula_functional_form_tot_adv.R</w:t>
            </w:r>
          </w:p>
          <w:p w14:paraId="06C01876" w14:textId="3347A29A" w:rsidR="002D185F" w:rsidRPr="00F54750" w:rsidRDefault="002D185F" w:rsidP="002D185F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sens_functional_form/gformula_functional_form_lethal_fatal.R</w:t>
            </w:r>
          </w:p>
          <w:p w14:paraId="12772403" w14:textId="3AF140E0" w:rsidR="002D185F" w:rsidRPr="00F54750" w:rsidRDefault="002D185F" w:rsidP="002D185F">
            <w:pPr>
              <w:pStyle w:val="ListParagraph"/>
              <w:numPr>
                <w:ilvl w:val="0"/>
                <w:numId w:val="12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sens_alter_sequence/read_gformula_results.R</w:t>
            </w:r>
          </w:p>
          <w:p w14:paraId="061DEE9A" w14:textId="1D2ADA8F" w:rsidR="00F35F13" w:rsidRPr="00F54750" w:rsidRDefault="002D185F" w:rsidP="00F35F13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sens_alter_sequence/gformula_alter_sequence_tot_adv.R</w:t>
            </w:r>
          </w:p>
          <w:p w14:paraId="4283A27E" w14:textId="5A0F9034" w:rsidR="002D185F" w:rsidRPr="00F54750" w:rsidRDefault="002D185F" w:rsidP="00F35F13">
            <w:pPr>
              <w:pStyle w:val="ListParagraph"/>
              <w:numPr>
                <w:ilvl w:val="0"/>
                <w:numId w:val="7"/>
              </w:num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sens_alter_sequence/gformula_alter_sequence_lethal_fatal.R</w:t>
            </w:r>
          </w:p>
        </w:tc>
      </w:tr>
      <w:tr w:rsidR="00F54750" w:rsidRPr="00C0010B" w14:paraId="456D8932" w14:textId="77777777" w:rsidTr="00F54750">
        <w:tc>
          <w:tcPr>
            <w:tcW w:w="2277" w:type="pct"/>
          </w:tcPr>
          <w:p w14:paraId="71E893A0" w14:textId="6673BCD9" w:rsidR="002D185F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Table S12.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 Negative and positive outcome controls: Estimated 26-year risk differences for accidental or injury-related death and cardiovascular disease death, </w:t>
            </w:r>
            <w:r w:rsidRPr="00965236">
              <w:rPr>
                <w:rFonts w:ascii="Arial" w:hAnsi="Arial" w:cs="Arial"/>
                <w:sz w:val="20"/>
                <w:szCs w:val="20"/>
              </w:rPr>
              <w:t>comparing specific components of the physical activity and dietary recommendations vs. no intervention</w:t>
            </w:r>
            <w:r w:rsidRPr="00F5475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65236">
              <w:rPr>
                <w:rFonts w:ascii="Arial" w:hAnsi="Arial" w:cs="Arial"/>
                <w:sz w:val="20"/>
                <w:szCs w:val="20"/>
              </w:rPr>
              <w:t>Health Professionals Follow-up Study</w:t>
            </w:r>
          </w:p>
        </w:tc>
        <w:tc>
          <w:tcPr>
            <w:tcW w:w="2723" w:type="pct"/>
          </w:tcPr>
          <w:p w14:paraId="121EDD8B" w14:textId="77777777" w:rsidR="00F35F13" w:rsidRPr="00F54750" w:rsidRDefault="002D185F" w:rsidP="00F35F13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control_analysis/read_gformula_results.R</w:t>
            </w:r>
          </w:p>
          <w:p w14:paraId="284FAF68" w14:textId="4525E9C6" w:rsidR="002D185F" w:rsidRPr="00F54750" w:rsidRDefault="002D185F" w:rsidP="00F35F13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control_analysis/gformula_acd_1115.R</w:t>
            </w:r>
          </w:p>
          <w:p w14:paraId="02745F02" w14:textId="3289343B" w:rsidR="002D185F" w:rsidRPr="00F54750" w:rsidRDefault="002D185F" w:rsidP="00F35F13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control_analysis/gformula_cvd_1115.R</w:t>
            </w:r>
          </w:p>
        </w:tc>
      </w:tr>
      <w:tr w:rsidR="00F54750" w:rsidRPr="00C0010B" w14:paraId="30720122" w14:textId="77777777" w:rsidTr="00F54750">
        <w:tc>
          <w:tcPr>
            <w:tcW w:w="2277" w:type="pct"/>
          </w:tcPr>
          <w:p w14:paraId="36E9300C" w14:textId="5AD769D8" w:rsidR="00F35F13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S1.</w:t>
            </w:r>
            <w:r w:rsidRPr="000610D9">
              <w:rPr>
                <w:rFonts w:ascii="Arial" w:hAnsi="Arial" w:cs="Arial"/>
                <w:sz w:val="20"/>
                <w:szCs w:val="20"/>
              </w:rPr>
              <w:t xml:space="preserve"> Extension of the causal directed acyclic graph depicted in Figure 1 to additionally show the structure of treatment-confounder feedback</w:t>
            </w:r>
          </w:p>
        </w:tc>
        <w:tc>
          <w:tcPr>
            <w:tcW w:w="2723" w:type="pct"/>
          </w:tcPr>
          <w:p w14:paraId="2AE50EB5" w14:textId="02F53048" w:rsidR="00F35F13" w:rsidRPr="00F54750" w:rsidRDefault="00F35F13" w:rsidP="00F35F13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F54750" w:rsidRPr="00C0010B" w14:paraId="05E9B2EA" w14:textId="77777777" w:rsidTr="00F54750">
        <w:tc>
          <w:tcPr>
            <w:tcW w:w="2277" w:type="pct"/>
          </w:tcPr>
          <w:p w14:paraId="5EF8F422" w14:textId="69F0FDED" w:rsidR="002D185F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S2.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Standardized</w:t>
            </w:r>
            <w:r w:rsidRPr="00965236" w:rsidDel="00D215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5236">
              <w:rPr>
                <w:rFonts w:ascii="Arial" w:hAnsi="Arial" w:cs="Arial"/>
                <w:sz w:val="20"/>
                <w:szCs w:val="20"/>
              </w:rPr>
              <w:t>survival curves for total, advanced, lethal, and fatal prostate cancer under recommendation-based physical activity and dietary strategies, Health Professionals Follow-up Study</w:t>
            </w:r>
          </w:p>
        </w:tc>
        <w:tc>
          <w:tcPr>
            <w:tcW w:w="2723" w:type="pct"/>
          </w:tcPr>
          <w:p w14:paraId="0FBAA21C" w14:textId="6DFB2B53" w:rsidR="002D185F" w:rsidRPr="00F54750" w:rsidRDefault="002D185F" w:rsidP="00B07223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main_analysis_C_D_Y/survival_plot.R</w:t>
            </w:r>
          </w:p>
        </w:tc>
      </w:tr>
      <w:tr w:rsidR="00F54750" w:rsidRPr="00C0010B" w14:paraId="3E388735" w14:textId="77777777" w:rsidTr="00F54750">
        <w:tc>
          <w:tcPr>
            <w:tcW w:w="2277" w:type="pct"/>
          </w:tcPr>
          <w:p w14:paraId="45C5BA10" w14:textId="054686C8" w:rsidR="00B07223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S3.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Comparisons of means of time-varying body-mass index </w:t>
            </w:r>
            <w:r w:rsidRPr="00965236">
              <w:rPr>
                <w:rFonts w:ascii="Arial" w:hAnsi="Arial" w:cs="Arial"/>
                <w:sz w:val="20"/>
                <w:szCs w:val="20"/>
              </w:rPr>
              <w:t>under</w:t>
            </w:r>
            <w:r>
              <w:rPr>
                <w:rFonts w:ascii="Arial" w:hAnsi="Arial" w:cs="Arial"/>
                <w:sz w:val="20"/>
                <w:szCs w:val="20"/>
              </w:rPr>
              <w:t xml:space="preserve"> no intervention (natural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course) and the joint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recommendation-based physical activity and dietary strateg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, Health Professionals Follow-up </w:t>
            </w:r>
            <w:r>
              <w:rPr>
                <w:rFonts w:ascii="Arial" w:hAnsi="Arial" w:cs="Arial"/>
                <w:sz w:val="20"/>
                <w:szCs w:val="20"/>
              </w:rPr>
              <w:t>Study</w:t>
            </w:r>
          </w:p>
        </w:tc>
        <w:tc>
          <w:tcPr>
            <w:tcW w:w="2723" w:type="pct"/>
          </w:tcPr>
          <w:p w14:paraId="4D7FE31C" w14:textId="1F0A0BCB" w:rsidR="00B07223" w:rsidRPr="00F54750" w:rsidRDefault="00B07223" w:rsidP="00B07223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check_BMI/gformula_tot_1115.R</w:t>
            </w:r>
          </w:p>
        </w:tc>
      </w:tr>
      <w:tr w:rsidR="00F54750" w:rsidRPr="00C0010B" w14:paraId="1E9C6773" w14:textId="77777777" w:rsidTr="00F54750">
        <w:tc>
          <w:tcPr>
            <w:tcW w:w="2277" w:type="pct"/>
          </w:tcPr>
          <w:p w14:paraId="71816AF6" w14:textId="4CFFE9BE" w:rsidR="002D185F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S4.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Comparisons of means of time-varying variables and risk of total prostate cancer between IP-weighted estimates and parametric g-formula estimates under the natural course</w:t>
            </w:r>
          </w:p>
        </w:tc>
        <w:tc>
          <w:tcPr>
            <w:tcW w:w="2723" w:type="pct"/>
          </w:tcPr>
          <w:p w14:paraId="0CF142CD" w14:textId="12431C24" w:rsidR="002D185F" w:rsidRPr="00F54750" w:rsidRDefault="002D185F" w:rsidP="00F5475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main_analysis_C_D_Y/fitness_figure.R</w:t>
            </w:r>
          </w:p>
        </w:tc>
      </w:tr>
      <w:tr w:rsidR="00F54750" w:rsidRPr="00C0010B" w14:paraId="4C20557A" w14:textId="77777777" w:rsidTr="00F54750">
        <w:tc>
          <w:tcPr>
            <w:tcW w:w="2277" w:type="pct"/>
          </w:tcPr>
          <w:p w14:paraId="71396A5C" w14:textId="6292A95D" w:rsidR="002D185F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S5.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Comparisons of means of time-varying variables and risk of </w:t>
            </w:r>
            <w:r>
              <w:rPr>
                <w:rFonts w:ascii="Arial" w:hAnsi="Arial" w:cs="Arial"/>
                <w:sz w:val="20"/>
                <w:szCs w:val="20"/>
              </w:rPr>
              <w:t>advanced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prostate cancer between IP-weighted estimates and parametric g-formula estimates under the natural course</w:t>
            </w:r>
          </w:p>
        </w:tc>
        <w:tc>
          <w:tcPr>
            <w:tcW w:w="2723" w:type="pct"/>
          </w:tcPr>
          <w:p w14:paraId="42B2457B" w14:textId="23A6427D" w:rsidR="002D185F" w:rsidRPr="00F54750" w:rsidRDefault="002D185F" w:rsidP="00F5475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main_analysis_C_D_Y/fitness_figure.R</w:t>
            </w:r>
          </w:p>
        </w:tc>
      </w:tr>
      <w:tr w:rsidR="00F54750" w:rsidRPr="00C0010B" w14:paraId="7818C044" w14:textId="77777777" w:rsidTr="00F54750">
        <w:tc>
          <w:tcPr>
            <w:tcW w:w="2277" w:type="pct"/>
          </w:tcPr>
          <w:p w14:paraId="0F7C0257" w14:textId="5AB7CC0F" w:rsidR="002D185F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S6.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Comparisons of means of time-varying variables and risk of </w:t>
            </w:r>
            <w:r>
              <w:rPr>
                <w:rFonts w:ascii="Arial" w:hAnsi="Arial" w:cs="Arial"/>
                <w:sz w:val="20"/>
                <w:szCs w:val="20"/>
              </w:rPr>
              <w:t>lethal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prostate cancer between IP-weighted estimates and parametric g-formula estimates under the natural course</w:t>
            </w:r>
          </w:p>
        </w:tc>
        <w:tc>
          <w:tcPr>
            <w:tcW w:w="2723" w:type="pct"/>
          </w:tcPr>
          <w:p w14:paraId="23726EFE" w14:textId="6237AC64" w:rsidR="002D185F" w:rsidRPr="00F54750" w:rsidRDefault="002D185F" w:rsidP="00F5475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main_analysis_C_D_Y/fitness_figure.R</w:t>
            </w:r>
          </w:p>
        </w:tc>
      </w:tr>
      <w:tr w:rsidR="00F54750" w:rsidRPr="00C0010B" w14:paraId="5335F8D1" w14:textId="77777777" w:rsidTr="00F54750">
        <w:tc>
          <w:tcPr>
            <w:tcW w:w="2277" w:type="pct"/>
          </w:tcPr>
          <w:p w14:paraId="37F8FDDD" w14:textId="6B5DFF82" w:rsidR="002D185F" w:rsidRPr="00F54750" w:rsidRDefault="00F54750" w:rsidP="002D185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F54750">
              <w:rPr>
                <w:rFonts w:ascii="Arial" w:hAnsi="Arial" w:cs="Arial"/>
                <w:b/>
                <w:bCs/>
                <w:sz w:val="20"/>
                <w:szCs w:val="20"/>
              </w:rPr>
              <w:t>Figure S7.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Comparisons of means of time-varying variables and risk of </w:t>
            </w:r>
            <w:r>
              <w:rPr>
                <w:rFonts w:ascii="Arial" w:hAnsi="Arial" w:cs="Arial"/>
                <w:sz w:val="20"/>
                <w:szCs w:val="20"/>
              </w:rPr>
              <w:t>fatal</w:t>
            </w:r>
            <w:r w:rsidRPr="00965236">
              <w:rPr>
                <w:rFonts w:ascii="Arial" w:hAnsi="Arial" w:cs="Arial"/>
                <w:sz w:val="20"/>
                <w:szCs w:val="20"/>
              </w:rPr>
              <w:t xml:space="preserve"> prostate cancer between IP-weighted estimates and parametric g-formula estimates under the natural course</w:t>
            </w:r>
          </w:p>
        </w:tc>
        <w:tc>
          <w:tcPr>
            <w:tcW w:w="2723" w:type="pct"/>
          </w:tcPr>
          <w:p w14:paraId="662FCF70" w14:textId="451F8254" w:rsidR="002D185F" w:rsidRPr="00F54750" w:rsidRDefault="002D185F" w:rsidP="00F54750">
            <w:pPr>
              <w:suppressAutoHyphens/>
              <w:spacing w:before="60" w:after="60" w:line="1" w:lineRule="atLeast"/>
              <w:textDirection w:val="btLr"/>
              <w:textAlignment w:val="top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F54750">
              <w:rPr>
                <w:rFonts w:ascii="Arial" w:eastAsia="Times New Roman" w:hAnsi="Arial" w:cs="Arial"/>
                <w:sz w:val="20"/>
                <w:szCs w:val="20"/>
              </w:rPr>
              <w:t>main_analysis_C_D_Y/fitness_figure.R</w:t>
            </w:r>
          </w:p>
        </w:tc>
      </w:tr>
    </w:tbl>
    <w:p w14:paraId="6C31C1DB" w14:textId="1B746ABC" w:rsidR="00960D53" w:rsidRDefault="00960D5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2F7F25" w14:textId="77777777" w:rsidR="000A60AA" w:rsidRPr="00C0010B" w:rsidRDefault="000A60AA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101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5508"/>
        <w:gridCol w:w="2880"/>
        <w:gridCol w:w="1800"/>
      </w:tblGrid>
      <w:tr w:rsidR="00F54750" w:rsidRPr="005E3ECC" w14:paraId="1BF998B5" w14:textId="77777777" w:rsidTr="0030154A">
        <w:tc>
          <w:tcPr>
            <w:tcW w:w="5508" w:type="dxa"/>
            <w:tcBorders>
              <w:bottom w:val="single" w:sz="4" w:space="0" w:color="000000"/>
            </w:tcBorders>
          </w:tcPr>
          <w:p w14:paraId="796E0224" w14:textId="0FF3B1C5" w:rsidR="00F54750" w:rsidRPr="00F54750" w:rsidRDefault="00F54750" w:rsidP="00F54750">
            <w:pPr>
              <w:pStyle w:val="Subtitle"/>
              <w:spacing w:before="60" w:after="60"/>
              <w:ind w:left="0" w:hanging="2"/>
              <w:jc w:val="left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</w:pPr>
            <w:r w:rsidRPr="00F54750">
              <w:rPr>
                <w:i w:val="0"/>
                <w:color w:val="000000" w:themeColor="text1"/>
              </w:rPr>
              <w:t>Fuyu Guo</w:t>
            </w:r>
          </w:p>
        </w:tc>
        <w:tc>
          <w:tcPr>
            <w:tcW w:w="2880" w:type="dxa"/>
          </w:tcPr>
          <w:p w14:paraId="0C550BCD" w14:textId="77777777" w:rsidR="00F54750" w:rsidRPr="00F54750" w:rsidRDefault="00F54750" w:rsidP="00F54750">
            <w:pPr>
              <w:pStyle w:val="Subtitle"/>
              <w:spacing w:before="60" w:after="60"/>
              <w:ind w:left="0" w:hanging="2"/>
              <w:jc w:val="left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14:paraId="35B28087" w14:textId="12F787C5" w:rsidR="00F54750" w:rsidRPr="00F54750" w:rsidRDefault="00F54750" w:rsidP="00F54750">
            <w:pPr>
              <w:pStyle w:val="Subtitle"/>
              <w:spacing w:before="60" w:after="60"/>
              <w:ind w:left="0" w:hanging="2"/>
              <w:jc w:val="left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</w:pPr>
            <w:r w:rsidRPr="00F54750">
              <w:rPr>
                <w:i w:val="0"/>
                <w:color w:val="000000" w:themeColor="text1"/>
              </w:rPr>
              <w:t>2023-July-11</w:t>
            </w:r>
          </w:p>
        </w:tc>
      </w:tr>
      <w:tr w:rsidR="00F4359C" w:rsidRPr="005E3ECC" w14:paraId="7148B106" w14:textId="77777777" w:rsidTr="0030154A">
        <w:tc>
          <w:tcPr>
            <w:tcW w:w="5508" w:type="dxa"/>
            <w:tcBorders>
              <w:top w:val="single" w:sz="4" w:space="0" w:color="000000"/>
            </w:tcBorders>
          </w:tcPr>
          <w:p w14:paraId="51640D2D" w14:textId="77777777" w:rsidR="00574F2E" w:rsidRPr="005E3ECC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  <w:r w:rsidRPr="005E3ECC">
              <w:rPr>
                <w:rFonts w:ascii="Arial" w:eastAsia="Helvetica Neue" w:hAnsi="Arial" w:cs="Arial"/>
                <w:i w:val="0"/>
                <w:sz w:val="22"/>
                <w:szCs w:val="22"/>
              </w:rPr>
              <w:t>Person(s) who wrote the programs</w:t>
            </w:r>
          </w:p>
        </w:tc>
        <w:tc>
          <w:tcPr>
            <w:tcW w:w="2880" w:type="dxa"/>
          </w:tcPr>
          <w:p w14:paraId="065A64BF" w14:textId="77777777" w:rsidR="00574F2E" w:rsidRPr="005E3ECC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14:paraId="54D7AE5B" w14:textId="77777777" w:rsidR="00574F2E" w:rsidRPr="005E3ECC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  <w:r w:rsidRPr="005E3ECC">
              <w:rPr>
                <w:rFonts w:ascii="Arial" w:eastAsia="Helvetica Neue" w:hAnsi="Arial" w:cs="Arial"/>
                <w:i w:val="0"/>
                <w:sz w:val="22"/>
                <w:szCs w:val="22"/>
              </w:rPr>
              <w:t>Date</w:t>
            </w:r>
          </w:p>
        </w:tc>
      </w:tr>
      <w:tr w:rsidR="00F54750" w:rsidRPr="005E3ECC" w14:paraId="04FA4824" w14:textId="77777777" w:rsidTr="0030154A">
        <w:tc>
          <w:tcPr>
            <w:tcW w:w="5508" w:type="dxa"/>
            <w:tcBorders>
              <w:bottom w:val="single" w:sz="4" w:space="0" w:color="000000"/>
            </w:tcBorders>
          </w:tcPr>
          <w:p w14:paraId="0CBC1677" w14:textId="07FB7245" w:rsidR="00F54750" w:rsidRPr="005E3ECC" w:rsidRDefault="0017598A" w:rsidP="00F54750">
            <w:pPr>
              <w:pStyle w:val="Subtitle"/>
              <w:spacing w:before="240" w:after="60"/>
              <w:ind w:left="0" w:hanging="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i w:val="0"/>
                <w:color w:val="000000" w:themeColor="text1"/>
              </w:rPr>
              <w:t>Emma McGee</w:t>
            </w:r>
          </w:p>
        </w:tc>
        <w:tc>
          <w:tcPr>
            <w:tcW w:w="2880" w:type="dxa"/>
          </w:tcPr>
          <w:p w14:paraId="26B67A45" w14:textId="77777777" w:rsidR="00F54750" w:rsidRPr="005E3ECC" w:rsidRDefault="00F54750" w:rsidP="00F54750">
            <w:pPr>
              <w:pStyle w:val="Subtitle"/>
              <w:spacing w:before="240" w:after="60"/>
              <w:ind w:left="0" w:hanging="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14:paraId="417D74E5" w14:textId="50532958" w:rsidR="00F54750" w:rsidRPr="005E3ECC" w:rsidRDefault="00F54750" w:rsidP="00F54750">
            <w:pPr>
              <w:pStyle w:val="Subtitle"/>
              <w:spacing w:before="240" w:after="60"/>
              <w:ind w:left="0" w:hanging="2"/>
              <w:jc w:val="left"/>
              <w:rPr>
                <w:rFonts w:ascii="Arial" w:hAnsi="Arial" w:cs="Arial"/>
                <w:i w:val="0"/>
                <w:sz w:val="22"/>
                <w:szCs w:val="22"/>
              </w:rPr>
            </w:pPr>
            <w:r w:rsidRPr="00F54750">
              <w:rPr>
                <w:i w:val="0"/>
                <w:color w:val="000000" w:themeColor="text1"/>
              </w:rPr>
              <w:t>2023-July-1</w:t>
            </w:r>
            <w:r>
              <w:rPr>
                <w:i w:val="0"/>
                <w:color w:val="000000" w:themeColor="text1"/>
              </w:rPr>
              <w:t>5</w:t>
            </w:r>
          </w:p>
        </w:tc>
      </w:tr>
      <w:tr w:rsidR="00F4359C" w:rsidRPr="005E3ECC" w14:paraId="29ADA648" w14:textId="77777777" w:rsidTr="0030154A">
        <w:tc>
          <w:tcPr>
            <w:tcW w:w="5508" w:type="dxa"/>
            <w:tcBorders>
              <w:top w:val="single" w:sz="4" w:space="0" w:color="000000"/>
            </w:tcBorders>
          </w:tcPr>
          <w:p w14:paraId="10AE437B" w14:textId="77777777" w:rsidR="00574F2E" w:rsidRPr="005E3ECC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  <w:r w:rsidRPr="005E3ECC">
              <w:rPr>
                <w:rFonts w:ascii="Arial" w:eastAsia="Helvetica Neue" w:hAnsi="Arial" w:cs="Arial"/>
                <w:i w:val="0"/>
                <w:sz w:val="22"/>
                <w:szCs w:val="22"/>
              </w:rPr>
              <w:t>Person who reviewed the programs</w:t>
            </w:r>
          </w:p>
        </w:tc>
        <w:tc>
          <w:tcPr>
            <w:tcW w:w="2880" w:type="dxa"/>
          </w:tcPr>
          <w:p w14:paraId="085F7438" w14:textId="77777777" w:rsidR="00574F2E" w:rsidRPr="005E3ECC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14:paraId="50FA341A" w14:textId="77777777" w:rsidR="00574F2E" w:rsidRPr="005E3ECC" w:rsidRDefault="00574F2E" w:rsidP="00867E13">
            <w:pPr>
              <w:pStyle w:val="Subtitle"/>
              <w:ind w:left="0" w:hanging="2"/>
              <w:jc w:val="left"/>
              <w:rPr>
                <w:rFonts w:ascii="Arial" w:eastAsia="Helvetica Neue" w:hAnsi="Arial" w:cs="Arial"/>
                <w:i w:val="0"/>
                <w:sz w:val="22"/>
                <w:szCs w:val="22"/>
              </w:rPr>
            </w:pPr>
            <w:r w:rsidRPr="005E3ECC">
              <w:rPr>
                <w:rFonts w:ascii="Arial" w:eastAsia="Helvetica Neue" w:hAnsi="Arial" w:cs="Arial"/>
                <w:i w:val="0"/>
                <w:sz w:val="22"/>
                <w:szCs w:val="22"/>
              </w:rPr>
              <w:t>Date</w:t>
            </w:r>
          </w:p>
        </w:tc>
      </w:tr>
    </w:tbl>
    <w:p w14:paraId="7334D9AC" w14:textId="1011BE7A" w:rsidR="00960D53" w:rsidRPr="00574F2E" w:rsidRDefault="00960D53" w:rsidP="00171631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960D53" w:rsidRPr="00574F2E" w:rsidSect="00F4359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E5B12"/>
    <w:multiLevelType w:val="hybridMultilevel"/>
    <w:tmpl w:val="EFD8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F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F20165"/>
    <w:multiLevelType w:val="hybridMultilevel"/>
    <w:tmpl w:val="50D686C2"/>
    <w:lvl w:ilvl="0" w:tplc="2D6000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2CCD645B"/>
    <w:multiLevelType w:val="multilevel"/>
    <w:tmpl w:val="D18A3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A45188"/>
    <w:multiLevelType w:val="hybridMultilevel"/>
    <w:tmpl w:val="25E05BEC"/>
    <w:lvl w:ilvl="0" w:tplc="04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5" w15:restartNumberingAfterBreak="0">
    <w:nsid w:val="3C1F2606"/>
    <w:multiLevelType w:val="multilevel"/>
    <w:tmpl w:val="D18A3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9B396D"/>
    <w:multiLevelType w:val="hybridMultilevel"/>
    <w:tmpl w:val="7474F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D34D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C1E3DB5"/>
    <w:multiLevelType w:val="hybridMultilevel"/>
    <w:tmpl w:val="F82E9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02562"/>
    <w:multiLevelType w:val="multilevel"/>
    <w:tmpl w:val="D18A3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C4319B"/>
    <w:multiLevelType w:val="multilevel"/>
    <w:tmpl w:val="D18A32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8A4AF1"/>
    <w:multiLevelType w:val="hybridMultilevel"/>
    <w:tmpl w:val="01B4C778"/>
    <w:lvl w:ilvl="0" w:tplc="97F89F8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200478374">
    <w:abstractNumId w:val="0"/>
  </w:num>
  <w:num w:numId="2" w16cid:durableId="354426470">
    <w:abstractNumId w:val="9"/>
  </w:num>
  <w:num w:numId="3" w16cid:durableId="958681274">
    <w:abstractNumId w:val="3"/>
  </w:num>
  <w:num w:numId="4" w16cid:durableId="2141217002">
    <w:abstractNumId w:val="5"/>
  </w:num>
  <w:num w:numId="5" w16cid:durableId="676810249">
    <w:abstractNumId w:val="10"/>
  </w:num>
  <w:num w:numId="6" w16cid:durableId="1810056451">
    <w:abstractNumId w:val="11"/>
  </w:num>
  <w:num w:numId="7" w16cid:durableId="1285429563">
    <w:abstractNumId w:val="4"/>
  </w:num>
  <w:num w:numId="8" w16cid:durableId="42098459">
    <w:abstractNumId w:val="6"/>
  </w:num>
  <w:num w:numId="9" w16cid:durableId="1576237316">
    <w:abstractNumId w:val="8"/>
  </w:num>
  <w:num w:numId="10" w16cid:durableId="379086634">
    <w:abstractNumId w:val="7"/>
  </w:num>
  <w:num w:numId="11" w16cid:durableId="348681417">
    <w:abstractNumId w:val="1"/>
  </w:num>
  <w:num w:numId="12" w16cid:durableId="117572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35"/>
    <w:rsid w:val="00000426"/>
    <w:rsid w:val="00006DB3"/>
    <w:rsid w:val="000152E0"/>
    <w:rsid w:val="00023592"/>
    <w:rsid w:val="000273E8"/>
    <w:rsid w:val="00043B6A"/>
    <w:rsid w:val="00061597"/>
    <w:rsid w:val="000751DB"/>
    <w:rsid w:val="0008545A"/>
    <w:rsid w:val="0009071C"/>
    <w:rsid w:val="000A1FA6"/>
    <w:rsid w:val="000A60AA"/>
    <w:rsid w:val="000B4B28"/>
    <w:rsid w:val="000D4688"/>
    <w:rsid w:val="000D55D1"/>
    <w:rsid w:val="000D774C"/>
    <w:rsid w:val="000F1435"/>
    <w:rsid w:val="00121E75"/>
    <w:rsid w:val="00125E40"/>
    <w:rsid w:val="00130E15"/>
    <w:rsid w:val="00144C74"/>
    <w:rsid w:val="0015169B"/>
    <w:rsid w:val="00171631"/>
    <w:rsid w:val="0017598A"/>
    <w:rsid w:val="00191A63"/>
    <w:rsid w:val="001933C2"/>
    <w:rsid w:val="001A497A"/>
    <w:rsid w:val="001C0215"/>
    <w:rsid w:val="001C4380"/>
    <w:rsid w:val="001E1F7A"/>
    <w:rsid w:val="001E3395"/>
    <w:rsid w:val="001F473C"/>
    <w:rsid w:val="00204208"/>
    <w:rsid w:val="00232B8E"/>
    <w:rsid w:val="0024390D"/>
    <w:rsid w:val="0026255F"/>
    <w:rsid w:val="0026340F"/>
    <w:rsid w:val="0026686C"/>
    <w:rsid w:val="00275AE1"/>
    <w:rsid w:val="0027636B"/>
    <w:rsid w:val="002978F0"/>
    <w:rsid w:val="002C6AE9"/>
    <w:rsid w:val="002D0D61"/>
    <w:rsid w:val="002D185F"/>
    <w:rsid w:val="002E6199"/>
    <w:rsid w:val="0030153B"/>
    <w:rsid w:val="0030154A"/>
    <w:rsid w:val="0030675E"/>
    <w:rsid w:val="00313788"/>
    <w:rsid w:val="00321456"/>
    <w:rsid w:val="00325445"/>
    <w:rsid w:val="00337749"/>
    <w:rsid w:val="0034040F"/>
    <w:rsid w:val="00342143"/>
    <w:rsid w:val="0038099F"/>
    <w:rsid w:val="00392D95"/>
    <w:rsid w:val="003970CA"/>
    <w:rsid w:val="003A7919"/>
    <w:rsid w:val="003F1628"/>
    <w:rsid w:val="00401660"/>
    <w:rsid w:val="00405B7C"/>
    <w:rsid w:val="004161F9"/>
    <w:rsid w:val="004356F6"/>
    <w:rsid w:val="0043703F"/>
    <w:rsid w:val="00461903"/>
    <w:rsid w:val="00475E16"/>
    <w:rsid w:val="004929FA"/>
    <w:rsid w:val="004C13E0"/>
    <w:rsid w:val="004C4059"/>
    <w:rsid w:val="004C7CEB"/>
    <w:rsid w:val="004E0F19"/>
    <w:rsid w:val="004E4F61"/>
    <w:rsid w:val="004F2FEE"/>
    <w:rsid w:val="0050590D"/>
    <w:rsid w:val="0051155E"/>
    <w:rsid w:val="00537C8D"/>
    <w:rsid w:val="00540BF8"/>
    <w:rsid w:val="00547E70"/>
    <w:rsid w:val="00551C3D"/>
    <w:rsid w:val="005620A6"/>
    <w:rsid w:val="0056390D"/>
    <w:rsid w:val="00574F2E"/>
    <w:rsid w:val="00580056"/>
    <w:rsid w:val="005B1C0D"/>
    <w:rsid w:val="005B3B63"/>
    <w:rsid w:val="005C30D4"/>
    <w:rsid w:val="005D1051"/>
    <w:rsid w:val="005E1C87"/>
    <w:rsid w:val="005E3ECC"/>
    <w:rsid w:val="00620EF4"/>
    <w:rsid w:val="0062518A"/>
    <w:rsid w:val="00647940"/>
    <w:rsid w:val="00661748"/>
    <w:rsid w:val="00666D07"/>
    <w:rsid w:val="006757A2"/>
    <w:rsid w:val="00690928"/>
    <w:rsid w:val="006967E8"/>
    <w:rsid w:val="006A6D19"/>
    <w:rsid w:val="006B192D"/>
    <w:rsid w:val="006B3362"/>
    <w:rsid w:val="006C0335"/>
    <w:rsid w:val="006C65DE"/>
    <w:rsid w:val="006D1280"/>
    <w:rsid w:val="006E1F70"/>
    <w:rsid w:val="006F1880"/>
    <w:rsid w:val="00707DCA"/>
    <w:rsid w:val="007134D3"/>
    <w:rsid w:val="007206AF"/>
    <w:rsid w:val="007240C8"/>
    <w:rsid w:val="00751FB4"/>
    <w:rsid w:val="007575EE"/>
    <w:rsid w:val="00773F05"/>
    <w:rsid w:val="00774916"/>
    <w:rsid w:val="00785134"/>
    <w:rsid w:val="0079393D"/>
    <w:rsid w:val="007A2619"/>
    <w:rsid w:val="007A64B5"/>
    <w:rsid w:val="007C6172"/>
    <w:rsid w:val="007F0661"/>
    <w:rsid w:val="007F5469"/>
    <w:rsid w:val="00802452"/>
    <w:rsid w:val="00812BC4"/>
    <w:rsid w:val="008178E4"/>
    <w:rsid w:val="00822AA4"/>
    <w:rsid w:val="0083289A"/>
    <w:rsid w:val="0084353F"/>
    <w:rsid w:val="00850A54"/>
    <w:rsid w:val="00870089"/>
    <w:rsid w:val="00875EED"/>
    <w:rsid w:val="00894C80"/>
    <w:rsid w:val="008B5CAF"/>
    <w:rsid w:val="008C7567"/>
    <w:rsid w:val="008D1048"/>
    <w:rsid w:val="008D772B"/>
    <w:rsid w:val="008F75EA"/>
    <w:rsid w:val="0090076F"/>
    <w:rsid w:val="00960D53"/>
    <w:rsid w:val="0098566A"/>
    <w:rsid w:val="009B592C"/>
    <w:rsid w:val="009B7C1A"/>
    <w:rsid w:val="009C1D45"/>
    <w:rsid w:val="009C6764"/>
    <w:rsid w:val="009E49B5"/>
    <w:rsid w:val="009F03AF"/>
    <w:rsid w:val="009F4CD7"/>
    <w:rsid w:val="00A122B8"/>
    <w:rsid w:val="00A162C5"/>
    <w:rsid w:val="00A40E9B"/>
    <w:rsid w:val="00A8112E"/>
    <w:rsid w:val="00A938F1"/>
    <w:rsid w:val="00A97D21"/>
    <w:rsid w:val="00AA0394"/>
    <w:rsid w:val="00AA34A7"/>
    <w:rsid w:val="00AC0FAE"/>
    <w:rsid w:val="00AC5F83"/>
    <w:rsid w:val="00AD43F3"/>
    <w:rsid w:val="00AE65EB"/>
    <w:rsid w:val="00AF68FF"/>
    <w:rsid w:val="00B02E44"/>
    <w:rsid w:val="00B07223"/>
    <w:rsid w:val="00B14B1B"/>
    <w:rsid w:val="00B25BAA"/>
    <w:rsid w:val="00B3010B"/>
    <w:rsid w:val="00B356E2"/>
    <w:rsid w:val="00B37470"/>
    <w:rsid w:val="00B47CA9"/>
    <w:rsid w:val="00B57581"/>
    <w:rsid w:val="00B853D0"/>
    <w:rsid w:val="00B95642"/>
    <w:rsid w:val="00BB7135"/>
    <w:rsid w:val="00BB79C0"/>
    <w:rsid w:val="00BB7F3E"/>
    <w:rsid w:val="00BC192A"/>
    <w:rsid w:val="00BC2941"/>
    <w:rsid w:val="00BC71D7"/>
    <w:rsid w:val="00BD3349"/>
    <w:rsid w:val="00C0010B"/>
    <w:rsid w:val="00C02D5A"/>
    <w:rsid w:val="00C04934"/>
    <w:rsid w:val="00C06760"/>
    <w:rsid w:val="00C35A69"/>
    <w:rsid w:val="00C60099"/>
    <w:rsid w:val="00C66330"/>
    <w:rsid w:val="00C665B8"/>
    <w:rsid w:val="00C728E3"/>
    <w:rsid w:val="00C7393F"/>
    <w:rsid w:val="00C843E7"/>
    <w:rsid w:val="00C96F4C"/>
    <w:rsid w:val="00CA3CDF"/>
    <w:rsid w:val="00CA5987"/>
    <w:rsid w:val="00CC7889"/>
    <w:rsid w:val="00CD7C4D"/>
    <w:rsid w:val="00CE39EA"/>
    <w:rsid w:val="00CF5540"/>
    <w:rsid w:val="00D375B3"/>
    <w:rsid w:val="00D52A3D"/>
    <w:rsid w:val="00D74897"/>
    <w:rsid w:val="00D92111"/>
    <w:rsid w:val="00D9369F"/>
    <w:rsid w:val="00DA4997"/>
    <w:rsid w:val="00DA5C66"/>
    <w:rsid w:val="00DB1EC0"/>
    <w:rsid w:val="00DC4629"/>
    <w:rsid w:val="00DE25C5"/>
    <w:rsid w:val="00DE6483"/>
    <w:rsid w:val="00DF1E06"/>
    <w:rsid w:val="00DF6F5E"/>
    <w:rsid w:val="00E01550"/>
    <w:rsid w:val="00E259C8"/>
    <w:rsid w:val="00E30155"/>
    <w:rsid w:val="00E35A00"/>
    <w:rsid w:val="00E36EE8"/>
    <w:rsid w:val="00E44F36"/>
    <w:rsid w:val="00E50850"/>
    <w:rsid w:val="00E614E5"/>
    <w:rsid w:val="00E71B36"/>
    <w:rsid w:val="00E75277"/>
    <w:rsid w:val="00E97CDB"/>
    <w:rsid w:val="00EA7B20"/>
    <w:rsid w:val="00EB5701"/>
    <w:rsid w:val="00EC3DFB"/>
    <w:rsid w:val="00EE3C62"/>
    <w:rsid w:val="00F303A3"/>
    <w:rsid w:val="00F35F13"/>
    <w:rsid w:val="00F4359C"/>
    <w:rsid w:val="00F54750"/>
    <w:rsid w:val="00F666E4"/>
    <w:rsid w:val="00F72638"/>
    <w:rsid w:val="00FC29BF"/>
    <w:rsid w:val="00FC46F4"/>
    <w:rsid w:val="00FD40D8"/>
    <w:rsid w:val="00FE03B9"/>
    <w:rsid w:val="00FE6C49"/>
    <w:rsid w:val="00F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229D"/>
  <w15:chartTrackingRefBased/>
  <w15:docId w15:val="{B2E232AE-EE33-9847-AD0E-7E11A8D9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74897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897"/>
    <w:rPr>
      <w:rFonts w:ascii="Arial" w:eastAsia="Times New Roman" w:hAnsi="Arial" w:cs="Times New Roman"/>
      <w:sz w:val="20"/>
      <w:szCs w:val="20"/>
    </w:rPr>
  </w:style>
  <w:style w:type="paragraph" w:customStyle="1" w:styleId="Style1">
    <w:name w:val="Style1"/>
    <w:basedOn w:val="CommentText"/>
    <w:autoRedefine/>
    <w:qFormat/>
    <w:rsid w:val="00D74897"/>
    <w:rPr>
      <w:rFonts w:eastAsiaTheme="minorEastAsia" w:cstheme="minorBidi"/>
    </w:rPr>
  </w:style>
  <w:style w:type="table" w:styleId="TableGrid">
    <w:name w:val="Table Grid"/>
    <w:basedOn w:val="TableNormal"/>
    <w:uiPriority w:val="39"/>
    <w:rsid w:val="00C7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8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5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66D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1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link w:val="SubtitleChar"/>
    <w:uiPriority w:val="11"/>
    <w:qFormat/>
    <w:rsid w:val="00574F2E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" w:eastAsia="Times New Roman" w:hAnsi="Times New Roman" w:cs="Times New Roman"/>
      <w:i/>
      <w:position w:val="-1"/>
    </w:rPr>
  </w:style>
  <w:style w:type="character" w:customStyle="1" w:styleId="SubtitleChar">
    <w:name w:val="Subtitle Char"/>
    <w:basedOn w:val="DefaultParagraphFont"/>
    <w:link w:val="Subtitle"/>
    <w:uiPriority w:val="11"/>
    <w:rsid w:val="00574F2E"/>
    <w:rPr>
      <w:rFonts w:ascii="Times New Roman" w:eastAsia="Times New Roman" w:hAnsi="Times New Roman" w:cs="Times New Roman"/>
      <w:i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714BE2F7DA84FB794829F77C14496" ma:contentTypeVersion="17" ma:contentTypeDescription="Create a new document." ma:contentTypeScope="" ma:versionID="5cc26a4a8ae8d10f56b6e5ed1f36c6f6">
  <xsd:schema xmlns:xsd="http://www.w3.org/2001/XMLSchema" xmlns:xs="http://www.w3.org/2001/XMLSchema" xmlns:p="http://schemas.microsoft.com/office/2006/metadata/properties" xmlns:ns2="98506842-5bd8-4aa8-864d-968dc3814de4" xmlns:ns3="22f82ee7-1f3b-4d4c-a69f-a6ddfb9bb7e1" targetNamespace="http://schemas.microsoft.com/office/2006/metadata/properties" ma:root="true" ma:fieldsID="a5ea91371eb02e580f2dec929295c347" ns2:_="" ns3:_="">
    <xsd:import namespace="98506842-5bd8-4aa8-864d-968dc3814de4"/>
    <xsd:import namespace="22f82ee7-1f3b-4d4c-a69f-a6ddfb9bb7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06842-5bd8-4aa8-864d-968dc3814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82ee7-1f3b-4d4c-a69f-a6ddfb9bb7e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cae0f4-e9db-4ef7-b463-edc8493ccfa2}" ma:internalName="TaxCatchAll" ma:showField="CatchAllData" ma:web="22f82ee7-1f3b-4d4c-a69f-a6ddfb9bb7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506842-5bd8-4aa8-864d-968dc3814de4">
      <Terms xmlns="http://schemas.microsoft.com/office/infopath/2007/PartnerControls"/>
    </lcf76f155ced4ddcb4097134ff3c332f>
    <TaxCatchAll xmlns="22f82ee7-1f3b-4d4c-a69f-a6ddfb9bb7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F358E4-25B4-493A-8376-22F67CEFE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06842-5bd8-4aa8-864d-968dc3814de4"/>
    <ds:schemaRef ds:uri="22f82ee7-1f3b-4d4c-a69f-a6ddfb9bb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FA6B8-53B7-4A4B-BD78-171EBE28F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1732D7-EE1D-4F68-A4F6-DC79CCF96065}">
  <ds:schemaRefs>
    <ds:schemaRef ds:uri="http://schemas.microsoft.com/office/2006/metadata/properties"/>
    <ds:schemaRef ds:uri="http://schemas.microsoft.com/office/infopath/2007/PartnerControls"/>
    <ds:schemaRef ds:uri="98506842-5bd8-4aa8-864d-968dc3814de4"/>
    <ds:schemaRef ds:uri="22f82ee7-1f3b-4d4c-a69f-a6ddfb9bb7e1"/>
  </ds:schemaRefs>
</ds:datastoreItem>
</file>

<file path=customXml/itemProps4.xml><?xml version="1.0" encoding="utf-8"?>
<ds:datastoreItem xmlns:ds="http://schemas.openxmlformats.org/officeDocument/2006/customXml" ds:itemID="{9C2B553B-4C89-FA4D-96CE-07887691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Dickerman, Barbra</dc:creator>
  <cp:keywords/>
  <dc:description/>
  <cp:lastModifiedBy>Guo, Fuyu</cp:lastModifiedBy>
  <cp:revision>3</cp:revision>
  <dcterms:created xsi:type="dcterms:W3CDTF">2024-07-30T20:12:00Z</dcterms:created>
  <dcterms:modified xsi:type="dcterms:W3CDTF">2024-07-30T20:14:00Z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0x010100DC1714BE2F7DA84FB794829F77C14496</vt:lpwstr>
  </property>
</Properties>
</file>