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14:ligatures w14:val="none"/>
        </w:rPr>
        <w:t>Analytic Program Directory</w:t>
      </w:r>
      <w:r>
        <w:rPr>
          <w:rFonts w:eastAsia="Times New Roman" w:cs="Arial" w:ascii="Arial" w:hAnsi="Arial"/>
          <w:color w:val="000000"/>
          <w:kern w:val="0"/>
          <w14:ligatures w14:val="none"/>
        </w:rPr>
        <w:t> </w:t>
      </w:r>
    </w:p>
    <w:p>
      <w:pPr>
        <w:pStyle w:val="Normal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14:ligatures w14:val="none"/>
        </w:rPr>
        <w:t> </w:t>
      </w:r>
    </w:p>
    <w:p>
      <w:pPr>
        <w:pStyle w:val="Normal"/>
        <w:textAlignment w:val="baseline"/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2"/>
          <w:szCs w:val="22"/>
          <w14:ligatures w14:val="none"/>
        </w:rPr>
        <w:t xml:space="preserve">Publication: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 xml:space="preserve">Rein SM et al. Integrase strand-transfer inhibitor use and cardiovascular events in adults with HIV: an emulation of target trials in the HIV-CAUSAL Collaboration and the Antiretroviral Therapy Cohort Collaboration. Lancet HIV. </w:t>
      </w:r>
      <w:r>
        <w:rPr>
          <w:rFonts w:eastAsia="Times New Roman" w:cs="Arial" w:ascii="Arial" w:hAnsi="Arial"/>
          <w:color w:val="000000" w:themeColor="text1"/>
          <w:kern w:val="0"/>
          <w:sz w:val="22"/>
          <w:szCs w:val="22"/>
          <w14:ligatures w14:val="none"/>
        </w:rPr>
        <w:t>Volume 10, Issue 11, E723-E732.</w:t>
      </w:r>
    </w:p>
    <w:p>
      <w:pPr>
        <w:pStyle w:val="Normal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 </w:t>
      </w:r>
    </w:p>
    <w:tbl>
      <w:tblPr>
        <w:tblW w:w="9637" w:type="dxa"/>
        <w:jc w:val="left"/>
        <w:tblInd w:w="-105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7836"/>
        <w:gridCol w:w="1800"/>
      </w:tblGrid>
      <w:tr>
        <w:trPr>
          <w:trHeight w:val="300" w:hRule="atLeast"/>
        </w:trPr>
        <w:tc>
          <w:tcPr>
            <w:tcW w:w="7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Table/Figure # </w:t>
            </w:r>
            <w:r>
              <w:rPr>
                <w:rFonts w:eastAsia="Times New Roman" w:cs="Arial" w:ascii="Arial" w:hAnsi="Arial"/>
                <w:color w:val="FFFFF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Program Name</w:t>
            </w:r>
            <w:r>
              <w:rPr>
                <w:rFonts w:eastAsia="Times New Roman" w:cs="Arial" w:ascii="Arial" w:hAnsi="Arial"/>
                <w:color w:val="FFFF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7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Figure 1</w:t>
            </w: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: Selection of individuals for the emulation of a target trial, 2013–23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N/A</w:t>
            </w:r>
          </w:p>
        </w:tc>
      </w:tr>
      <w:tr>
        <w:trPr>
          <w:trHeight w:val="320" w:hRule="atLeast"/>
        </w:trPr>
        <w:tc>
          <w:tcPr>
            <w:tcW w:w="7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Autospacing="1" w:after="0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Table 1</w:t>
            </w: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Baseline characteristics and standardized mean differences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prog1.R</w:t>
            </w:r>
          </w:p>
        </w:tc>
      </w:tr>
      <w:tr>
        <w:trPr>
          <w:trHeight w:val="2285" w:hRule="atLeast"/>
        </w:trPr>
        <w:tc>
          <w:tcPr>
            <w:tcW w:w="7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Autospacing="1" w:after="0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Table 2</w:t>
            </w: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Estimated risk of cardiovascular events over 4-year follow-up in ART-naive and ART-experienced individuals</w:t>
              <w:br/>
              <w:t>- in ART-naïve individuals: unadjusted model</w:t>
              <w:br/>
              <w:t>- in ART-naïve individuals: adjusted for age, sex and cohort</w:t>
              <w:br/>
              <w:t>- in ART-naïve individuals: adjusted for all baseline covariates</w:t>
              <w:br/>
              <w:t>- in ART-experienced individuals: unadjusted model</w:t>
              <w:br/>
              <w:t>- in ART-experienced individuals: adjusted for age, sex and cohort</w:t>
              <w:br/>
              <w:t>- in ART-experienced individuals: adjusted for all baseline covariates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prog2.sas 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prog3.sas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prog4.sas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prog5.sas 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prog6.sas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prog7.sas</w:t>
            </w:r>
          </w:p>
        </w:tc>
      </w:tr>
      <w:tr>
        <w:trPr>
          <w:trHeight w:val="548" w:hRule="atLeast"/>
        </w:trPr>
        <w:tc>
          <w:tcPr>
            <w:tcW w:w="7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Autospacing="1" w:after="0"/>
              <w:textAlignment w:val="baseline"/>
              <w:rPr>
                <w:rFonts w:ascii="Arial" w:hAnsi="Arial" w:eastAsia="Times New Roman" w:cs="Arial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Figure 2: </w:t>
            </w: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Estimated cumulative incidence of cardiovascular events</w:t>
              <w:br/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prog8.R</w:t>
            </w:r>
          </w:p>
        </w:tc>
      </w:tr>
      <w:tr>
        <w:trPr>
          <w:trHeight w:val="1171" w:hRule="atLeast"/>
        </w:trPr>
        <w:tc>
          <w:tcPr>
            <w:tcW w:w="7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Autospacing="1" w:after="0"/>
              <w:textAlignment w:val="baseline"/>
              <w:rPr>
                <w:rFonts w:ascii="Arial" w:hAnsi="Arial" w:eastAsia="Times New Roman" w:cs="Arial"/>
                <w:b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Style w:val="Normaltextrun"/>
                <w:rFonts w:cs="Arial" w:ascii="Arial" w:hAnsi="Arial"/>
                <w:b/>
                <w:bCs/>
                <w:color w:val="000000"/>
                <w:sz w:val="21"/>
                <w:szCs w:val="21"/>
                <w:shd w:fill="FFFFFF" w:val="clear"/>
              </w:rPr>
              <w:t xml:space="preserve">Results in Text: </w:t>
            </w:r>
            <w:r>
              <w:rPr>
                <w:rStyle w:val="Normaltextrun"/>
                <w:rFonts w:cs="Arial" w:ascii="Arial" w:hAnsi="Arial"/>
                <w:b/>
                <w:bCs/>
                <w:sz w:val="21"/>
                <w:szCs w:val="21"/>
                <w:shd w:fill="FFFFFF" w:val="clear"/>
              </w:rPr>
              <w:t>“</w:t>
            </w:r>
            <w:r>
              <w:rPr>
                <w:rFonts w:cs="Arial" w:ascii="Arial" w:hAnsi="Arial"/>
                <w:color w:val="211D1E"/>
                <w:sz w:val="21"/>
                <w:szCs w:val="21"/>
              </w:rPr>
              <w:t xml:space="preserve">In the per-protocol analysis, [in ART-naïve individuals] [..] 4-year risks were 0·60% (0·40 to 0·81) in INSTI initiators and 0·88% (0·48 to 1·35) in non-initiators of INSTI; risk ratio 0·69 (0·36 to 1·30) and risk difference </w:t>
              <w:br/>
              <w:t>–0·28% (–0·81 to 0·15).”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prog9.sas</w:t>
            </w:r>
          </w:p>
        </w:tc>
      </w:tr>
      <w:tr>
        <w:trPr>
          <w:trHeight w:val="1171" w:hRule="atLeast"/>
        </w:trPr>
        <w:tc>
          <w:tcPr>
            <w:tcW w:w="7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Autospacing="1" w:after="0"/>
              <w:textAlignment w:val="baseline"/>
              <w:rPr>
                <w:rStyle w:val="Normaltextrun"/>
                <w:rFonts w:ascii="Arial" w:hAnsi="Arial" w:cs="Arial"/>
                <w:b/>
                <w:b/>
                <w:bCs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Normaltextrun"/>
                <w:rFonts w:cs="Arial" w:ascii="Arial" w:hAnsi="Arial"/>
                <w:b/>
                <w:bCs/>
                <w:color w:val="000000"/>
                <w:sz w:val="21"/>
                <w:szCs w:val="21"/>
                <w:shd w:fill="FFFFFF" w:val="clear"/>
              </w:rPr>
              <w:t xml:space="preserve">Results in Text: </w:t>
            </w:r>
            <w:r>
              <w:rPr>
                <w:rStyle w:val="Normaltextrun"/>
                <w:rFonts w:cs="Arial" w:ascii="Arial" w:hAnsi="Arial"/>
                <w:b/>
                <w:bCs/>
                <w:sz w:val="21"/>
                <w:szCs w:val="21"/>
                <w:shd w:fill="FFFFFF" w:val="clear"/>
              </w:rPr>
              <w:t>“</w:t>
            </w:r>
            <w:r>
              <w:rPr>
                <w:rFonts w:cs="Arial" w:ascii="Arial" w:hAnsi="Arial"/>
                <w:color w:val="211D1E"/>
                <w:sz w:val="21"/>
                <w:szCs w:val="21"/>
              </w:rPr>
              <w:t>In the per-protocol analysis, [in ART-experienced individuals] [..] 4-year risks were 1·21% (0·80 to 1·77) in INSTI initiators and 1·34% (1·12 to 1·60) in non-initiators of INSTI; risk ratio 0·90 (0·58 to 1·33) and risk difference –0·13% (–0·60 to 0·42).”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prog10.sas</w:t>
            </w:r>
          </w:p>
        </w:tc>
      </w:tr>
      <w:tr>
        <w:trPr>
          <w:trHeight w:val="548" w:hRule="atLeast"/>
        </w:trPr>
        <w:tc>
          <w:tcPr>
            <w:tcW w:w="7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Autospacing="1" w:after="0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:highlight w:val="yellow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Appendix II. </w:t>
            </w: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Participating cohorts and number of persons contributing to sequential trials from each cohort in the analyses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included in: prog1.R </w:t>
              <w:br/>
            </w:r>
          </w:p>
        </w:tc>
      </w:tr>
      <w:tr>
        <w:trPr>
          <w:trHeight w:val="300" w:hRule="atLeast"/>
        </w:trPr>
        <w:tc>
          <w:tcPr>
            <w:tcW w:w="7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Autospacing="1" w:after="0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:highlight w:val="yellow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Appendix VI. </w:t>
            </w: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Five most frequently used INSTI-based and non-INSTI-based ART regimens at trial baseline (in descending order)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prog11.sas </w:t>
            </w:r>
          </w:p>
        </w:tc>
      </w:tr>
      <w:tr>
        <w:trPr>
          <w:trHeight w:val="2505" w:hRule="atLeast"/>
        </w:trPr>
        <w:tc>
          <w:tcPr>
            <w:tcW w:w="7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Autospacing="1" w:afterAutospacing="1"/>
              <w:textAlignment w:val="baseline"/>
              <w:rPr>
                <w:rFonts w:ascii="Arial" w:hAnsi="Arial" w:eastAsia="Times New Roman" w:cs="Arial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Appendix VII. </w:t>
            </w: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Results of sensitivity analyses in ART-naïve and ART-experienced individuals</w:t>
            </w:r>
          </w:p>
          <w:p>
            <w:pPr>
              <w:pStyle w:val="Normal"/>
              <w:widowControl w:val="false"/>
              <w:spacing w:beforeAutospacing="1" w:after="0"/>
              <w:textAlignment w:val="baseline"/>
              <w:rPr>
                <w:rFonts w:ascii="Arial" w:hAnsi="Arial" w:eastAsia="Times New Roman" w:cs="Arial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In ART-naïve individuals:</w:t>
              <w:br/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 xml:space="preserve">- Relaxed definition of eligibility </w:t>
              <w:br/>
              <w:t>- Restricting initiators to top three most used INSTI regimens</w:t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:highlight w:val="yellow"/>
                <w14:ligatures w14:val="none"/>
              </w:rPr>
              <w:t xml:space="preserve"> </w:t>
              <w:br/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 xml:space="preserve">- </w:t>
            </w:r>
            <w:r>
              <w:rPr>
                <w:rFonts w:cs="Arial" w:ascii="Arial" w:hAnsi="Arial"/>
                <w:sz w:val="21"/>
                <w:szCs w:val="21"/>
              </w:rPr>
              <w:t xml:space="preserve">Restricting ART-naïve Initiators to dolutegravir- or bictegravir-based regimens </w:t>
              <w:br/>
              <w:t>- Only including cohorts with information on all types of CVD events</w:t>
              <w:br/>
              <w:t xml:space="preserve">- Excluding SHCS from analysis </w:t>
              <w:br/>
              <w:t>- Excluding Athena, Icona and SHCS from analysis</w:t>
              <w:br/>
              <w:t>- Additionally adjusting for current use of TAF</w:t>
              <w:br/>
              <w:t xml:space="preserve">- Additionally adjusting for CD4 count nadir </w:t>
              <w:br/>
              <w:t xml:space="preserve">- Restrict follow-up to years from 2016 onwards </w:t>
              <w:br/>
              <w:t xml:space="preserve">- Restrict the analysis to men </w:t>
              <w:br/>
              <w:br/>
            </w: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br/>
              <w:t>In ART-experienced individuals:</w:t>
              <w:br/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 xml:space="preserve">- Relaxed definition of eligibility </w:t>
              <w:br/>
              <w:t>- Restricting initiators to top three most used INSTI regimens</w:t>
              <w:br/>
            </w:r>
            <w:r>
              <w:rPr>
                <w:rFonts w:cs="Arial" w:ascii="Arial" w:hAnsi="Arial"/>
                <w:sz w:val="21"/>
                <w:szCs w:val="21"/>
              </w:rPr>
              <w:t>- Only including cohorts with information on all types of CVD events</w:t>
              <w:br/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 xml:space="preserve">- </w:t>
            </w:r>
            <w:r>
              <w:rPr>
                <w:rFonts w:cs="Arial" w:ascii="Arial" w:hAnsi="Arial"/>
                <w:sz w:val="21"/>
                <w:szCs w:val="21"/>
              </w:rPr>
              <w:t>Excluding Athena, Icona and SHCS from analysis</w:t>
              <w:br/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 xml:space="preserve">- </w:t>
            </w:r>
            <w:r>
              <w:rPr>
                <w:rFonts w:cs="Arial" w:ascii="Arial" w:hAnsi="Arial"/>
                <w:sz w:val="21"/>
                <w:szCs w:val="21"/>
              </w:rPr>
              <w:t>Additionally adjusting for cumulative months on PIs and NRTI that have been associated with CVD in previous studies</w:t>
            </w:r>
            <w:r>
              <w:rPr>
                <w:sz w:val="16"/>
                <w:szCs w:val="16"/>
              </w:rPr>
              <w:t xml:space="preserve"> </w:t>
              <w:br/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 xml:space="preserve">- </w:t>
            </w:r>
            <w:r>
              <w:rPr>
                <w:rFonts w:cs="Arial" w:ascii="Arial" w:hAnsi="Arial"/>
                <w:sz w:val="21"/>
                <w:szCs w:val="21"/>
              </w:rPr>
              <w:t>Additionally adjusting for current use of TAF</w:t>
              <w:br/>
              <w:t xml:space="preserve">- Additionally adjusting for CD4 count nadir </w:t>
              <w:br/>
              <w:t xml:space="preserve">- Restrict follow-up to years from 2016 onwards </w:t>
              <w:br/>
              <w:t>- Restrict the analysis to men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prog12.sas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prog13.sas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prog14.sas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prog15.sas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prog16.sas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prog17.sas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prog18.sas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prog19.sas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prog20.sas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prog21.sas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br/>
              <w:t>prog22.sas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prog23.sas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prog24.sas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prog25.sas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prog26.sas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prog27.sas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prog28.sas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prog29.sas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prog30.sas</w:t>
            </w:r>
          </w:p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</w:r>
          </w:p>
        </w:tc>
      </w:tr>
      <w:tr>
        <w:trPr>
          <w:trHeight w:val="300" w:hRule="atLeast"/>
        </w:trPr>
        <w:tc>
          <w:tcPr>
            <w:tcW w:w="7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Autospacing="1" w:after="0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:highlight w:val="yellow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Appendix VIII. </w:t>
            </w:r>
            <w:r>
              <w:rPr>
                <w:rFonts w:eastAsia="Times New Roman" w:cs="Arial" w:ascii="Arial" w:hAnsi="Arial"/>
                <w:color w:val="000000"/>
                <w:kern w:val="0"/>
                <w:sz w:val="21"/>
                <w:szCs w:val="21"/>
                <w14:ligatures w14:val="none"/>
              </w:rPr>
              <w:t>Cardiovascular event hazard ratios for covariates from multivariable pooled logistic regression models in both ART-naïve and ART-experienced populations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Arial" w:hAnsi="Arial" w:eastAsia="Times New Roman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14:ligatures w14:val="none"/>
              </w:rPr>
              <w:t>included in output from: prog4.sas and prog7.sas</w:t>
            </w:r>
          </w:p>
        </w:tc>
      </w:tr>
    </w:tbl>
    <w:p>
      <w:pPr>
        <w:pStyle w:val="Normal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 </w:t>
      </w:r>
    </w:p>
    <w:p>
      <w:pPr>
        <w:pStyle w:val="Normal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 </w:t>
      </w:r>
    </w:p>
    <w:tbl>
      <w:tblPr>
        <w:tblW w:w="9480" w:type="dxa"/>
        <w:jc w:val="left"/>
        <w:tblInd w:w="-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100"/>
        <w:gridCol w:w="2694"/>
        <w:gridCol w:w="1686"/>
      </w:tblGrid>
      <w:tr>
        <w:trPr>
          <w:trHeight w:val="300" w:hRule="atLeast"/>
        </w:trPr>
        <w:tc>
          <w:tcPr>
            <w:tcW w:w="5100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Times New Roman" w:hAnsi="Times New Roman" w:eastAsia="Times New Roman" w:cs="Times New Roman"/>
                <w:i/>
                <w:i/>
                <w:iCs/>
                <w:kern w:val="0"/>
                <w14:ligatures w14:val="none"/>
              </w:rPr>
            </w:pPr>
            <w:r>
              <w:rPr>
                <w:rFonts w:eastAsia="Times New Roman" w:cs="Arial" w:ascii="Arial" w:hAnsi="Arial"/>
                <w:i/>
                <w:i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694" w:type="dxa"/>
            <w:tcBorders/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Times New Roman" w:hAnsi="Times New Roman" w:eastAsia="Times New Roman" w:cs="Times New Roman"/>
                <w:i/>
                <w:i/>
                <w:iCs/>
                <w:kern w:val="0"/>
                <w14:ligatures w14:val="none"/>
              </w:rPr>
            </w:pPr>
            <w:r>
              <w:rPr>
                <w:rFonts w:eastAsia="Times New Roman" w:cs="Arial" w:ascii="Arial" w:hAnsi="Arial"/>
                <w:i/>
                <w:i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86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Times New Roman" w:hAnsi="Times New Roman" w:eastAsia="Times New Roman" w:cs="Times New Roman"/>
                <w:i/>
                <w:i/>
                <w:iCs/>
                <w:kern w:val="0"/>
                <w14:ligatures w14:val="none"/>
              </w:rPr>
            </w:pPr>
            <w:r>
              <w:rPr>
                <w:rFonts w:eastAsia="Times New Roman" w:cs="Arial" w:ascii="Arial" w:hAnsi="Arial"/>
                <w:i/>
                <w:iCs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5100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Times New Roman" w:hAnsi="Times New Roman" w:eastAsia="Times New Roman" w:cs="Times New Roman"/>
                <w:i/>
                <w:i/>
                <w:iCs/>
                <w:kern w:val="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14:ligatures w14:val="none"/>
              </w:rPr>
              <w:t>Person(s) who wrote the programs</w:t>
            </w:r>
            <w:r>
              <w:rPr>
                <w:rFonts w:eastAsia="Times New Roman" w:cs="Arial" w:ascii="Arial" w:hAnsi="Arial"/>
                <w:i/>
                <w:i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694" w:type="dxa"/>
            <w:tcBorders/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Times New Roman" w:hAnsi="Times New Roman" w:eastAsia="Times New Roman" w:cs="Times New Roman"/>
                <w:i/>
                <w:i/>
                <w:iCs/>
                <w:kern w:val="0"/>
                <w14:ligatures w14:val="none"/>
              </w:rPr>
            </w:pPr>
            <w:r>
              <w:rPr>
                <w:rFonts w:eastAsia="Times New Roman" w:cs="Arial" w:ascii="Arial" w:hAnsi="Arial"/>
                <w:i/>
                <w:iCs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eastAsia="Times New Roman" w:cs="Arial" w:ascii="Arial" w:hAnsi="Arial"/>
                <w:i/>
                <w:iCs/>
                <w:kern w:val="0"/>
                <w:sz w:val="22"/>
                <w:szCs w:val="22"/>
                <w14:ligatures w14:val="none"/>
              </w:rPr>
              <w:t>Sophia Rein</w:t>
            </w:r>
          </w:p>
        </w:tc>
        <w:tc>
          <w:tcPr>
            <w:tcW w:w="1686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Times New Roman" w:hAnsi="Times New Roman" w:eastAsia="Times New Roman" w:cs="Times New Roman"/>
                <w:i/>
                <w:i/>
                <w:iCs/>
                <w:kern w:val="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14:ligatures w14:val="none"/>
              </w:rPr>
              <w:t>Date</w:t>
            </w:r>
            <w:r>
              <w:rPr>
                <w:rFonts w:eastAsia="Times New Roman" w:cs="Arial" w:ascii="Arial" w:hAnsi="Arial"/>
                <w:i/>
                <w:iCs/>
                <w:kern w:val="0"/>
                <w:sz w:val="22"/>
                <w:szCs w:val="22"/>
                <w14:ligatures w14:val="none"/>
              </w:rPr>
              <w:t> </w:t>
              <w:br/>
              <w:t>8 Dec 2023</w:t>
            </w:r>
          </w:p>
        </w:tc>
      </w:tr>
      <w:tr>
        <w:trPr>
          <w:trHeight w:val="300" w:hRule="atLeast"/>
        </w:trPr>
        <w:tc>
          <w:tcPr>
            <w:tcW w:w="5100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Times New Roman" w:hAnsi="Times New Roman" w:eastAsia="Times New Roman" w:cs="Times New Roman"/>
                <w:i/>
                <w:i/>
                <w:iCs/>
                <w:kern w:val="0"/>
                <w14:ligatures w14:val="none"/>
              </w:rPr>
            </w:pPr>
            <w:r>
              <w:rPr>
                <w:rFonts w:eastAsia="Times New Roman" w:cs="Arial" w:ascii="Arial" w:hAnsi="Arial"/>
                <w:i/>
                <w:i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694" w:type="dxa"/>
            <w:tcBorders/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Times New Roman" w:hAnsi="Times New Roman" w:eastAsia="Times New Roman" w:cs="Times New Roman"/>
                <w:i/>
                <w:i/>
                <w:iCs/>
                <w:kern w:val="0"/>
                <w14:ligatures w14:val="none"/>
              </w:rPr>
            </w:pPr>
            <w:r>
              <w:rPr>
                <w:rFonts w:eastAsia="Times New Roman" w:cs="Arial" w:ascii="Arial" w:hAnsi="Arial"/>
                <w:i/>
                <w:i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86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Times New Roman" w:hAnsi="Times New Roman" w:eastAsia="Times New Roman" w:cs="Times New Roman"/>
                <w:i/>
                <w:i/>
                <w:iCs/>
                <w:kern w:val="0"/>
                <w14:ligatures w14:val="none"/>
              </w:rPr>
            </w:pPr>
            <w:r>
              <w:rPr>
                <w:rFonts w:eastAsia="Times New Roman" w:cs="Arial" w:ascii="Arial" w:hAnsi="Arial"/>
                <w:i/>
                <w:iCs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5100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Times New Roman" w:hAnsi="Times New Roman" w:eastAsia="Times New Roman" w:cs="Times New Roman"/>
                <w:i/>
                <w:i/>
                <w:iCs/>
                <w:kern w:val="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14:ligatures w14:val="none"/>
              </w:rPr>
              <w:t>Person who reviewed the programs</w:t>
            </w:r>
            <w:r>
              <w:rPr>
                <w:rFonts w:eastAsia="Times New Roman" w:cs="Arial" w:ascii="Arial" w:hAnsi="Arial"/>
                <w:i/>
                <w:i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694" w:type="dxa"/>
            <w:tcBorders/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Times New Roman" w:hAnsi="Times New Roman" w:eastAsia="Times New Roman" w:cs="Times New Roman"/>
                <w:i/>
                <w:i/>
                <w:iCs/>
                <w:kern w:val="0"/>
                <w14:ligatures w14:val="none"/>
              </w:rPr>
            </w:pPr>
            <w:r>
              <w:rPr>
                <w:rFonts w:eastAsia="Times New Roman" w:cs="Arial" w:ascii="Arial" w:hAnsi="Arial"/>
                <w:i/>
                <w:iCs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eastAsia="Times New Roman" w:cs="Arial" w:ascii="Arial" w:hAnsi="Arial"/>
                <w:i/>
                <w:iCs/>
                <w:kern w:val="0"/>
                <w:sz w:val="22"/>
                <w:szCs w:val="22"/>
                <w14:ligatures w14:val="none"/>
              </w:rPr>
              <w:t>Daniela van Santen</w:t>
            </w:r>
          </w:p>
        </w:tc>
        <w:tc>
          <w:tcPr>
            <w:tcW w:w="1686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Times New Roman" w:hAnsi="Times New Roman" w:eastAsia="Times New Roman" w:cs="Times New Roman"/>
                <w:i/>
                <w:i/>
                <w:iCs/>
                <w:kern w:val="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14:ligatures w14:val="none"/>
              </w:rPr>
              <w:t>Date</w:t>
            </w:r>
            <w:r>
              <w:rPr>
                <w:rFonts w:eastAsia="Times New Roman" w:cs="Arial" w:ascii="Arial" w:hAnsi="Arial"/>
                <w:i/>
                <w:iCs/>
                <w:kern w:val="0"/>
                <w:sz w:val="22"/>
                <w:szCs w:val="22"/>
                <w14:ligatures w14:val="none"/>
              </w:rPr>
              <w:t> </w:t>
              <w:br/>
              <w:t>15 Dec 2023</w:t>
            </w:r>
          </w:p>
        </w:tc>
      </w:tr>
    </w:tbl>
    <w:p>
      <w:pPr>
        <w:pStyle w:val="Normal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 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18d"/>
    <w:pPr>
      <w:keepNext w:val="true"/>
      <w:keepLines/>
      <w:spacing w:before="240" w:after="0"/>
      <w:outlineLvl w:val="0"/>
    </w:pPr>
    <w:rPr>
      <w:rFonts w:ascii="Arial" w:hAnsi="Arial" w:eastAsia="" w:cs="" w:cstheme="majorBidi" w:eastAsiaTheme="majorEastAsia"/>
      <w:b/>
      <w:color w:val="000000" w:themeColor="text1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8be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f518d"/>
    <w:rPr>
      <w:rFonts w:ascii="Arial" w:hAnsi="Arial" w:eastAsia="" w:cs="" w:cstheme="majorBidi" w:eastAsiaTheme="majorEastAsia"/>
      <w:b/>
      <w:color w:val="000000" w:themeColor="text1"/>
      <w:szCs w:val="32"/>
    </w:rPr>
  </w:style>
  <w:style w:type="character" w:styleId="Normaltextrun" w:customStyle="1">
    <w:name w:val="normaltextrun"/>
    <w:basedOn w:val="DefaultParagraphFont"/>
    <w:qFormat/>
    <w:rsid w:val="005c1689"/>
    <w:rPr/>
  </w:style>
  <w:style w:type="character" w:styleId="Eop" w:customStyle="1">
    <w:name w:val="eop"/>
    <w:basedOn w:val="DefaultParagraphFont"/>
    <w:qFormat/>
    <w:rsid w:val="005c1689"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918be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691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918b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6918be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181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a181c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a181c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aragraph" w:customStyle="1">
    <w:name w:val="paragraph"/>
    <w:basedOn w:val="Normal"/>
    <w:qFormat/>
    <w:rsid w:val="005c1689"/>
    <w:pPr>
      <w:spacing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a181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a181c"/>
    <w:pPr/>
    <w:rPr>
      <w:b/>
      <w:bCs/>
    </w:rPr>
  </w:style>
  <w:style w:type="paragraph" w:styleId="Default" w:customStyle="1">
    <w:name w:val="Default"/>
    <w:qFormat/>
    <w:rsid w:val="005126fa"/>
    <w:pPr>
      <w:widowControl/>
      <w:bidi w:val="0"/>
      <w:spacing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d1d5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LibreOffice/7.0.4.2$Windows_X86_64 LibreOffice_project/dcf040e67528d9187c66b2379df5ea4407429775</Application>
  <AppVersion>15.0000</AppVersion>
  <Pages>2</Pages>
  <Words>525</Words>
  <Characters>3133</Characters>
  <CharactersWithSpaces>3643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2023-12-11T16:42:00Z</dcterms:created>
  <dc:creator>Rein, Sophia</dc:creator>
  <dc:description/>
  <dc:language>en-US</dc:language>
  <cp:lastModifiedBy>Rein, Sophia</cp:lastModifiedBy>
  <dcterms:modified xsi:type="dcterms:W3CDTF">2023-12-15T17:10:00Z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