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8F9F" w14:textId="77777777" w:rsidR="00E11DF3" w:rsidRDefault="00000000">
      <w:pPr>
        <w:jc w:val="center"/>
        <w:rPr>
          <w:b/>
        </w:rPr>
      </w:pPr>
      <w:r>
        <w:rPr>
          <w:b/>
          <w:noProof/>
        </w:rPr>
        <w:drawing>
          <wp:inline distT="0" distB="0" distL="0" distR="0" wp14:anchorId="364B3583" wp14:editId="7E50C3FE">
            <wp:extent cx="2143007" cy="1030292"/>
            <wp:effectExtent l="0" t="0" r="0" b="0"/>
            <wp:docPr id="397041615" name="image7.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14:paraId="376EB402" w14:textId="77777777" w:rsidR="00E11DF3" w:rsidRDefault="00E11DF3">
      <w:pPr>
        <w:jc w:val="center"/>
        <w:rPr>
          <w:b/>
        </w:rPr>
      </w:pPr>
    </w:p>
    <w:p w14:paraId="2CFC8446" w14:textId="77777777" w:rsidR="00E11DF3" w:rsidRDefault="00000000">
      <w:pPr>
        <w:jc w:val="center"/>
        <w:rPr>
          <w:b/>
        </w:rPr>
      </w:pPr>
      <w:r>
        <w:rPr>
          <w:b/>
        </w:rPr>
        <w:t xml:space="preserve">Título del trabajo </w:t>
      </w:r>
    </w:p>
    <w:p w14:paraId="6E6B3935" w14:textId="77777777" w:rsidR="00E11DF3" w:rsidRDefault="00000000">
      <w:pPr>
        <w:spacing w:before="240" w:after="240" w:line="276" w:lineRule="auto"/>
        <w:jc w:val="center"/>
      </w:pPr>
      <w:r>
        <w:t>Pronóstico de generación de energía reactiva en una planta de productos lácteos a partir del año 2020</w:t>
      </w:r>
    </w:p>
    <w:p w14:paraId="227EA6E8" w14:textId="77777777" w:rsidR="00E11DF3" w:rsidRDefault="00E11DF3">
      <w:pPr>
        <w:jc w:val="left"/>
      </w:pPr>
      <w:bookmarkStart w:id="0" w:name="_heading=h.gjdgxs" w:colFirst="0" w:colLast="0"/>
      <w:bookmarkEnd w:id="0"/>
    </w:p>
    <w:p w14:paraId="6FD5E779" w14:textId="77777777" w:rsidR="00E11DF3" w:rsidRDefault="00000000">
      <w:pPr>
        <w:jc w:val="center"/>
      </w:pPr>
      <w:bookmarkStart w:id="1" w:name="_heading=h.tftxd9g66be9" w:colFirst="0" w:colLast="0"/>
      <w:bookmarkEnd w:id="1"/>
      <w:r>
        <w:t>Javier Andrés Causil Martínez</w:t>
      </w:r>
    </w:p>
    <w:p w14:paraId="7C1DFAF3" w14:textId="77777777" w:rsidR="00E11DF3" w:rsidRDefault="00000000">
      <w:pPr>
        <w:jc w:val="center"/>
      </w:pPr>
      <w:bookmarkStart w:id="2" w:name="_heading=h.u9b0fk1myobs" w:colFirst="0" w:colLast="0"/>
      <w:bookmarkEnd w:id="2"/>
      <w:r>
        <w:t>Yohiner Andrés Borja Góez</w:t>
      </w:r>
    </w:p>
    <w:p w14:paraId="25312EFF" w14:textId="77777777" w:rsidR="00E11DF3" w:rsidRDefault="00E11DF3">
      <w:pPr>
        <w:jc w:val="center"/>
      </w:pPr>
    </w:p>
    <w:p w14:paraId="6AE4A3B5" w14:textId="77777777" w:rsidR="00E11DF3" w:rsidRDefault="00E11DF3">
      <w:pPr>
        <w:jc w:val="center"/>
      </w:pPr>
    </w:p>
    <w:p w14:paraId="606943FF" w14:textId="77777777" w:rsidR="00E11DF3" w:rsidRDefault="00000000">
      <w:pPr>
        <w:jc w:val="center"/>
      </w:pPr>
      <w:r>
        <w:t xml:space="preserve">Monografía presentada para optar al título de Especialista en Analítica y Ciencia de Datos </w:t>
      </w:r>
    </w:p>
    <w:p w14:paraId="4162878C" w14:textId="77777777" w:rsidR="00E11DF3" w:rsidRDefault="00E11DF3">
      <w:pPr>
        <w:jc w:val="center"/>
      </w:pPr>
    </w:p>
    <w:p w14:paraId="7BF6CDA3" w14:textId="77777777" w:rsidR="00E11DF3" w:rsidRDefault="00E11DF3">
      <w:pPr>
        <w:jc w:val="center"/>
      </w:pPr>
    </w:p>
    <w:p w14:paraId="463BE6DE" w14:textId="77777777" w:rsidR="00E11DF3" w:rsidRDefault="00000000">
      <w:pPr>
        <w:jc w:val="center"/>
      </w:pPr>
      <w:bookmarkStart w:id="3" w:name="_heading=h.30j0zll" w:colFirst="0" w:colLast="0"/>
      <w:bookmarkEnd w:id="3"/>
      <w:r>
        <w:t>Asesor</w:t>
      </w:r>
      <w:r>
        <w:br/>
        <w:t xml:space="preserve">Nombres completos, Título académico más alto </w:t>
      </w:r>
    </w:p>
    <w:p w14:paraId="0314A7D9" w14:textId="77777777" w:rsidR="00E11DF3" w:rsidRDefault="00E11DF3">
      <w:pPr>
        <w:pBdr>
          <w:top w:val="nil"/>
          <w:left w:val="nil"/>
          <w:bottom w:val="nil"/>
          <w:right w:val="nil"/>
          <w:between w:val="nil"/>
        </w:pBdr>
        <w:ind w:firstLine="709"/>
        <w:jc w:val="center"/>
        <w:rPr>
          <w:color w:val="000000"/>
        </w:rPr>
      </w:pPr>
    </w:p>
    <w:p w14:paraId="4A77D11A" w14:textId="77777777" w:rsidR="00E11DF3" w:rsidRDefault="00E11DF3">
      <w:pPr>
        <w:pBdr>
          <w:top w:val="nil"/>
          <w:left w:val="nil"/>
          <w:bottom w:val="nil"/>
          <w:right w:val="nil"/>
          <w:between w:val="nil"/>
        </w:pBdr>
        <w:ind w:firstLine="709"/>
        <w:jc w:val="center"/>
        <w:rPr>
          <w:color w:val="000000"/>
        </w:rPr>
      </w:pPr>
    </w:p>
    <w:p w14:paraId="719D9ECC" w14:textId="77777777" w:rsidR="00E11DF3" w:rsidRDefault="00E11DF3">
      <w:pPr>
        <w:pBdr>
          <w:top w:val="nil"/>
          <w:left w:val="nil"/>
          <w:bottom w:val="nil"/>
          <w:right w:val="nil"/>
          <w:between w:val="nil"/>
        </w:pBdr>
        <w:ind w:firstLine="709"/>
        <w:jc w:val="center"/>
        <w:rPr>
          <w:color w:val="000000"/>
        </w:rPr>
      </w:pPr>
    </w:p>
    <w:p w14:paraId="46E1EC79" w14:textId="77777777" w:rsidR="00E11DF3" w:rsidRDefault="00000000">
      <w:pPr>
        <w:pBdr>
          <w:top w:val="nil"/>
          <w:left w:val="nil"/>
          <w:bottom w:val="nil"/>
          <w:right w:val="nil"/>
          <w:between w:val="nil"/>
        </w:pBdr>
        <w:ind w:firstLine="709"/>
        <w:jc w:val="center"/>
        <w:rPr>
          <w:color w:val="000000"/>
        </w:rPr>
      </w:pPr>
      <w:r>
        <w:rPr>
          <w:color w:val="000000"/>
        </w:rPr>
        <w:tab/>
      </w:r>
    </w:p>
    <w:p w14:paraId="6439BB3E" w14:textId="77777777" w:rsidR="00E11DF3" w:rsidRDefault="00E11DF3">
      <w:pPr>
        <w:pBdr>
          <w:top w:val="nil"/>
          <w:left w:val="nil"/>
          <w:bottom w:val="nil"/>
          <w:right w:val="nil"/>
          <w:between w:val="nil"/>
        </w:pBdr>
        <w:ind w:firstLine="709"/>
        <w:jc w:val="center"/>
        <w:rPr>
          <w:color w:val="000000"/>
        </w:rPr>
      </w:pPr>
    </w:p>
    <w:p w14:paraId="15D118D6" w14:textId="77777777" w:rsidR="00E11DF3" w:rsidRDefault="00000000">
      <w:pPr>
        <w:jc w:val="center"/>
      </w:pPr>
      <w:r>
        <w:t>Universidad de Antioquia</w:t>
      </w:r>
      <w:r>
        <w:br/>
        <w:t>Facultad de Ingeniería</w:t>
      </w:r>
    </w:p>
    <w:p w14:paraId="11B27F05" w14:textId="77777777" w:rsidR="00E11DF3" w:rsidRDefault="00000000">
      <w:pPr>
        <w:jc w:val="center"/>
      </w:pPr>
      <w:bookmarkStart w:id="4" w:name="_heading=h.1fob9te" w:colFirst="0" w:colLast="0"/>
      <w:bookmarkEnd w:id="4"/>
      <w:r>
        <w:t>Especialización en Analítica y Ciencia de Datos</w:t>
      </w:r>
    </w:p>
    <w:p w14:paraId="07BF9BEA" w14:textId="77777777" w:rsidR="00E11DF3" w:rsidRDefault="00000000">
      <w:pPr>
        <w:jc w:val="center"/>
      </w:pPr>
      <w:r>
        <w:t>Medellín, Antioquia, Colombia</w:t>
      </w:r>
    </w:p>
    <w:p w14:paraId="5CCD2338" w14:textId="77777777" w:rsidR="00E11DF3" w:rsidRDefault="00000000">
      <w:pPr>
        <w:jc w:val="center"/>
        <w:rPr>
          <w:color w:val="2B579A"/>
          <w:shd w:val="clear" w:color="auto" w:fill="E6E6E6"/>
        </w:rPr>
      </w:pPr>
      <w:r>
        <w:t>2024</w:t>
      </w:r>
    </w:p>
    <w:p w14:paraId="44CCF28F" w14:textId="77777777" w:rsidR="00E11DF3" w:rsidRDefault="00E11DF3"/>
    <w:p w14:paraId="05824247" w14:textId="77777777" w:rsidR="00E11DF3" w:rsidRDefault="00000000">
      <w:pPr>
        <w:spacing w:after="160" w:line="259" w:lineRule="auto"/>
        <w:jc w:val="left"/>
      </w:pPr>
      <w:r>
        <w:br w:type="page"/>
      </w:r>
    </w:p>
    <w:sdt>
      <w:sdtPr>
        <w:rPr>
          <w:lang w:val="es-ES"/>
        </w:rPr>
        <w:id w:val="756714390"/>
        <w:docPartObj>
          <w:docPartGallery w:val="Table of Contents"/>
          <w:docPartUnique/>
        </w:docPartObj>
      </w:sdtPr>
      <w:sdtEndPr>
        <w:rPr>
          <w:rFonts w:eastAsia="Times New Roman" w:cs="Times New Roman"/>
          <w:bCs/>
          <w:szCs w:val="24"/>
        </w:rPr>
      </w:sdtEndPr>
      <w:sdtContent>
        <w:p w14:paraId="45539F16" w14:textId="56C9CB69" w:rsidR="00C52105" w:rsidRDefault="00C52105">
          <w:pPr>
            <w:pStyle w:val="TtuloTDC"/>
          </w:pPr>
          <w:r>
            <w:rPr>
              <w:lang w:val="es-ES"/>
            </w:rPr>
            <w:t>Tabla de contenido</w:t>
          </w:r>
        </w:p>
        <w:p w14:paraId="36461F4D" w14:textId="4B545FD0" w:rsidR="00C52105" w:rsidRDefault="00C52105">
          <w:pPr>
            <w:pStyle w:val="TDC1"/>
            <w:tabs>
              <w:tab w:val="left" w:pos="44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7743136" w:history="1">
            <w:r w:rsidRPr="002D2F21">
              <w:rPr>
                <w:rStyle w:val="Hipervnculo"/>
                <w:noProof/>
              </w:rPr>
              <w:t>1.</w:t>
            </w:r>
            <w:r>
              <w:rPr>
                <w:rFonts w:asciiTheme="minorHAnsi" w:eastAsiaTheme="minorEastAsia" w:hAnsiTheme="minorHAnsi" w:cstheme="minorBidi"/>
                <w:noProof/>
                <w:kern w:val="2"/>
                <w14:ligatures w14:val="standardContextual"/>
              </w:rPr>
              <w:tab/>
            </w:r>
            <w:r w:rsidRPr="002D2F21">
              <w:rPr>
                <w:rStyle w:val="Hipervnculo"/>
                <w:noProof/>
              </w:rPr>
              <w:t>Descripción del problema</w:t>
            </w:r>
            <w:r>
              <w:rPr>
                <w:noProof/>
                <w:webHidden/>
              </w:rPr>
              <w:tab/>
            </w:r>
            <w:r>
              <w:rPr>
                <w:noProof/>
                <w:webHidden/>
              </w:rPr>
              <w:fldChar w:fldCharType="begin"/>
            </w:r>
            <w:r>
              <w:rPr>
                <w:noProof/>
                <w:webHidden/>
              </w:rPr>
              <w:instrText xml:space="preserve"> PAGEREF _Toc167743136 \h </w:instrText>
            </w:r>
            <w:r>
              <w:rPr>
                <w:noProof/>
                <w:webHidden/>
              </w:rPr>
            </w:r>
            <w:r>
              <w:rPr>
                <w:noProof/>
                <w:webHidden/>
              </w:rPr>
              <w:fldChar w:fldCharType="separate"/>
            </w:r>
            <w:r>
              <w:rPr>
                <w:noProof/>
                <w:webHidden/>
              </w:rPr>
              <w:t>5</w:t>
            </w:r>
            <w:r>
              <w:rPr>
                <w:noProof/>
                <w:webHidden/>
              </w:rPr>
              <w:fldChar w:fldCharType="end"/>
            </w:r>
          </w:hyperlink>
        </w:p>
        <w:p w14:paraId="3B2B9DF9" w14:textId="30EBEE7E"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37" w:history="1">
            <w:r w:rsidRPr="002D2F21">
              <w:rPr>
                <w:rStyle w:val="Hipervnculo"/>
                <w:noProof/>
              </w:rPr>
              <w:t>1.1.</w:t>
            </w:r>
            <w:r>
              <w:rPr>
                <w:rFonts w:asciiTheme="minorHAnsi" w:eastAsiaTheme="minorEastAsia" w:hAnsiTheme="minorHAnsi" w:cstheme="minorBidi"/>
                <w:noProof/>
                <w:kern w:val="2"/>
                <w14:ligatures w14:val="standardContextual"/>
              </w:rPr>
              <w:tab/>
            </w:r>
            <w:r w:rsidRPr="002D2F21">
              <w:rPr>
                <w:rStyle w:val="Hipervnculo"/>
                <w:noProof/>
              </w:rPr>
              <w:t>Problema de negocio</w:t>
            </w:r>
            <w:r>
              <w:rPr>
                <w:noProof/>
                <w:webHidden/>
              </w:rPr>
              <w:tab/>
            </w:r>
            <w:r>
              <w:rPr>
                <w:noProof/>
                <w:webHidden/>
              </w:rPr>
              <w:fldChar w:fldCharType="begin"/>
            </w:r>
            <w:r>
              <w:rPr>
                <w:noProof/>
                <w:webHidden/>
              </w:rPr>
              <w:instrText xml:space="preserve"> PAGEREF _Toc167743137 \h </w:instrText>
            </w:r>
            <w:r>
              <w:rPr>
                <w:noProof/>
                <w:webHidden/>
              </w:rPr>
            </w:r>
            <w:r>
              <w:rPr>
                <w:noProof/>
                <w:webHidden/>
              </w:rPr>
              <w:fldChar w:fldCharType="separate"/>
            </w:r>
            <w:r>
              <w:rPr>
                <w:noProof/>
                <w:webHidden/>
              </w:rPr>
              <w:t>5</w:t>
            </w:r>
            <w:r>
              <w:rPr>
                <w:noProof/>
                <w:webHidden/>
              </w:rPr>
              <w:fldChar w:fldCharType="end"/>
            </w:r>
          </w:hyperlink>
        </w:p>
        <w:p w14:paraId="13581A7F" w14:textId="4C02F948"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38" w:history="1">
            <w:r w:rsidRPr="002D2F21">
              <w:rPr>
                <w:rStyle w:val="Hipervnculo"/>
                <w:noProof/>
              </w:rPr>
              <w:t>1.2.</w:t>
            </w:r>
            <w:r>
              <w:rPr>
                <w:rFonts w:asciiTheme="minorHAnsi" w:eastAsiaTheme="minorEastAsia" w:hAnsiTheme="minorHAnsi" w:cstheme="minorBidi"/>
                <w:noProof/>
                <w:kern w:val="2"/>
                <w14:ligatures w14:val="standardContextual"/>
              </w:rPr>
              <w:tab/>
            </w:r>
            <w:r w:rsidRPr="002D2F21">
              <w:rPr>
                <w:rStyle w:val="Hipervnculo"/>
                <w:noProof/>
              </w:rPr>
              <w:t>Aproximación desde la analítica de datos</w:t>
            </w:r>
            <w:r>
              <w:rPr>
                <w:noProof/>
                <w:webHidden/>
              </w:rPr>
              <w:tab/>
            </w:r>
            <w:r>
              <w:rPr>
                <w:noProof/>
                <w:webHidden/>
              </w:rPr>
              <w:fldChar w:fldCharType="begin"/>
            </w:r>
            <w:r>
              <w:rPr>
                <w:noProof/>
                <w:webHidden/>
              </w:rPr>
              <w:instrText xml:space="preserve"> PAGEREF _Toc167743138 \h </w:instrText>
            </w:r>
            <w:r>
              <w:rPr>
                <w:noProof/>
                <w:webHidden/>
              </w:rPr>
            </w:r>
            <w:r>
              <w:rPr>
                <w:noProof/>
                <w:webHidden/>
              </w:rPr>
              <w:fldChar w:fldCharType="separate"/>
            </w:r>
            <w:r>
              <w:rPr>
                <w:noProof/>
                <w:webHidden/>
              </w:rPr>
              <w:t>6</w:t>
            </w:r>
            <w:r>
              <w:rPr>
                <w:noProof/>
                <w:webHidden/>
              </w:rPr>
              <w:fldChar w:fldCharType="end"/>
            </w:r>
          </w:hyperlink>
        </w:p>
        <w:p w14:paraId="35FD4717" w14:textId="7CDDE6BF"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39" w:history="1">
            <w:r w:rsidRPr="002D2F21">
              <w:rPr>
                <w:rStyle w:val="Hipervnculo"/>
                <w:noProof/>
              </w:rPr>
              <w:t>1.3.</w:t>
            </w:r>
            <w:r>
              <w:rPr>
                <w:rFonts w:asciiTheme="minorHAnsi" w:eastAsiaTheme="minorEastAsia" w:hAnsiTheme="minorHAnsi" w:cstheme="minorBidi"/>
                <w:noProof/>
                <w:kern w:val="2"/>
                <w14:ligatures w14:val="standardContextual"/>
              </w:rPr>
              <w:tab/>
            </w:r>
            <w:r w:rsidRPr="002D2F21">
              <w:rPr>
                <w:rStyle w:val="Hipervnculo"/>
                <w:noProof/>
              </w:rPr>
              <w:t>Origen de los datos</w:t>
            </w:r>
            <w:r>
              <w:rPr>
                <w:noProof/>
                <w:webHidden/>
              </w:rPr>
              <w:tab/>
            </w:r>
            <w:r>
              <w:rPr>
                <w:noProof/>
                <w:webHidden/>
              </w:rPr>
              <w:fldChar w:fldCharType="begin"/>
            </w:r>
            <w:r>
              <w:rPr>
                <w:noProof/>
                <w:webHidden/>
              </w:rPr>
              <w:instrText xml:space="preserve"> PAGEREF _Toc167743139 \h </w:instrText>
            </w:r>
            <w:r>
              <w:rPr>
                <w:noProof/>
                <w:webHidden/>
              </w:rPr>
            </w:r>
            <w:r>
              <w:rPr>
                <w:noProof/>
                <w:webHidden/>
              </w:rPr>
              <w:fldChar w:fldCharType="separate"/>
            </w:r>
            <w:r>
              <w:rPr>
                <w:noProof/>
                <w:webHidden/>
              </w:rPr>
              <w:t>6</w:t>
            </w:r>
            <w:r>
              <w:rPr>
                <w:noProof/>
                <w:webHidden/>
              </w:rPr>
              <w:fldChar w:fldCharType="end"/>
            </w:r>
          </w:hyperlink>
        </w:p>
        <w:p w14:paraId="509D05BC" w14:textId="395BFF68"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0" w:history="1">
            <w:r w:rsidRPr="002D2F21">
              <w:rPr>
                <w:rStyle w:val="Hipervnculo"/>
                <w:noProof/>
              </w:rPr>
              <w:t>1.4.</w:t>
            </w:r>
            <w:r>
              <w:rPr>
                <w:rFonts w:asciiTheme="minorHAnsi" w:eastAsiaTheme="minorEastAsia" w:hAnsiTheme="minorHAnsi" w:cstheme="minorBidi"/>
                <w:noProof/>
                <w:kern w:val="2"/>
                <w14:ligatures w14:val="standardContextual"/>
              </w:rPr>
              <w:tab/>
            </w:r>
            <w:r w:rsidRPr="002D2F21">
              <w:rPr>
                <w:rStyle w:val="Hipervnculo"/>
                <w:noProof/>
              </w:rPr>
              <w:t>Métricas de desempeño</w:t>
            </w:r>
            <w:r>
              <w:rPr>
                <w:noProof/>
                <w:webHidden/>
              </w:rPr>
              <w:tab/>
            </w:r>
            <w:r>
              <w:rPr>
                <w:noProof/>
                <w:webHidden/>
              </w:rPr>
              <w:fldChar w:fldCharType="begin"/>
            </w:r>
            <w:r>
              <w:rPr>
                <w:noProof/>
                <w:webHidden/>
              </w:rPr>
              <w:instrText xml:space="preserve"> PAGEREF _Toc167743140 \h </w:instrText>
            </w:r>
            <w:r>
              <w:rPr>
                <w:noProof/>
                <w:webHidden/>
              </w:rPr>
            </w:r>
            <w:r>
              <w:rPr>
                <w:noProof/>
                <w:webHidden/>
              </w:rPr>
              <w:fldChar w:fldCharType="separate"/>
            </w:r>
            <w:r>
              <w:rPr>
                <w:noProof/>
                <w:webHidden/>
              </w:rPr>
              <w:t>6</w:t>
            </w:r>
            <w:r>
              <w:rPr>
                <w:noProof/>
                <w:webHidden/>
              </w:rPr>
              <w:fldChar w:fldCharType="end"/>
            </w:r>
          </w:hyperlink>
        </w:p>
        <w:p w14:paraId="32F1E8F8" w14:textId="4CC1D6DE" w:rsidR="00C52105" w:rsidRDefault="00C52105">
          <w:pPr>
            <w:pStyle w:val="TDC1"/>
            <w:tabs>
              <w:tab w:val="left" w:pos="442"/>
            </w:tabs>
            <w:rPr>
              <w:rFonts w:asciiTheme="minorHAnsi" w:eastAsiaTheme="minorEastAsia" w:hAnsiTheme="minorHAnsi" w:cstheme="minorBidi"/>
              <w:noProof/>
              <w:kern w:val="2"/>
              <w14:ligatures w14:val="standardContextual"/>
            </w:rPr>
          </w:pPr>
          <w:hyperlink w:anchor="_Toc167743141" w:history="1">
            <w:r w:rsidRPr="002D2F21">
              <w:rPr>
                <w:rStyle w:val="Hipervnculo"/>
                <w:noProof/>
              </w:rPr>
              <w:t>2.</w:t>
            </w:r>
            <w:r>
              <w:rPr>
                <w:rFonts w:asciiTheme="minorHAnsi" w:eastAsiaTheme="minorEastAsia" w:hAnsiTheme="minorHAnsi" w:cstheme="minorBidi"/>
                <w:noProof/>
                <w:kern w:val="2"/>
                <w14:ligatures w14:val="standardContextual"/>
              </w:rPr>
              <w:tab/>
            </w:r>
            <w:r w:rsidRPr="002D2F21">
              <w:rPr>
                <w:rStyle w:val="Hipervnculo"/>
                <w:noProof/>
              </w:rPr>
              <w:t>Objetivos</w:t>
            </w:r>
            <w:r>
              <w:rPr>
                <w:noProof/>
                <w:webHidden/>
              </w:rPr>
              <w:tab/>
            </w:r>
            <w:r>
              <w:rPr>
                <w:noProof/>
                <w:webHidden/>
              </w:rPr>
              <w:fldChar w:fldCharType="begin"/>
            </w:r>
            <w:r>
              <w:rPr>
                <w:noProof/>
                <w:webHidden/>
              </w:rPr>
              <w:instrText xml:space="preserve"> PAGEREF _Toc167743141 \h </w:instrText>
            </w:r>
            <w:r>
              <w:rPr>
                <w:noProof/>
                <w:webHidden/>
              </w:rPr>
            </w:r>
            <w:r>
              <w:rPr>
                <w:noProof/>
                <w:webHidden/>
              </w:rPr>
              <w:fldChar w:fldCharType="separate"/>
            </w:r>
            <w:r>
              <w:rPr>
                <w:noProof/>
                <w:webHidden/>
              </w:rPr>
              <w:t>7</w:t>
            </w:r>
            <w:r>
              <w:rPr>
                <w:noProof/>
                <w:webHidden/>
              </w:rPr>
              <w:fldChar w:fldCharType="end"/>
            </w:r>
          </w:hyperlink>
        </w:p>
        <w:p w14:paraId="05834C9C" w14:textId="2AB807C3"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2" w:history="1">
            <w:r w:rsidRPr="002D2F21">
              <w:rPr>
                <w:rStyle w:val="Hipervnculo"/>
                <w:noProof/>
              </w:rPr>
              <w:t>2.1.</w:t>
            </w:r>
            <w:r>
              <w:rPr>
                <w:rFonts w:asciiTheme="minorHAnsi" w:eastAsiaTheme="minorEastAsia" w:hAnsiTheme="minorHAnsi" w:cstheme="minorBidi"/>
                <w:noProof/>
                <w:kern w:val="2"/>
                <w14:ligatures w14:val="standardContextual"/>
              </w:rPr>
              <w:tab/>
            </w:r>
            <w:r w:rsidRPr="002D2F21">
              <w:rPr>
                <w:rStyle w:val="Hipervnculo"/>
                <w:noProof/>
              </w:rPr>
              <w:t>Objetivo general</w:t>
            </w:r>
            <w:r>
              <w:rPr>
                <w:noProof/>
                <w:webHidden/>
              </w:rPr>
              <w:tab/>
            </w:r>
            <w:r>
              <w:rPr>
                <w:noProof/>
                <w:webHidden/>
              </w:rPr>
              <w:fldChar w:fldCharType="begin"/>
            </w:r>
            <w:r>
              <w:rPr>
                <w:noProof/>
                <w:webHidden/>
              </w:rPr>
              <w:instrText xml:space="preserve"> PAGEREF _Toc167743142 \h </w:instrText>
            </w:r>
            <w:r>
              <w:rPr>
                <w:noProof/>
                <w:webHidden/>
              </w:rPr>
            </w:r>
            <w:r>
              <w:rPr>
                <w:noProof/>
                <w:webHidden/>
              </w:rPr>
              <w:fldChar w:fldCharType="separate"/>
            </w:r>
            <w:r>
              <w:rPr>
                <w:noProof/>
                <w:webHidden/>
              </w:rPr>
              <w:t>7</w:t>
            </w:r>
            <w:r>
              <w:rPr>
                <w:noProof/>
                <w:webHidden/>
              </w:rPr>
              <w:fldChar w:fldCharType="end"/>
            </w:r>
          </w:hyperlink>
        </w:p>
        <w:p w14:paraId="191EC056" w14:textId="40EB8641"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3" w:history="1">
            <w:r w:rsidRPr="002D2F21">
              <w:rPr>
                <w:rStyle w:val="Hipervnculo"/>
                <w:noProof/>
              </w:rPr>
              <w:t>2.2.</w:t>
            </w:r>
            <w:r>
              <w:rPr>
                <w:rFonts w:asciiTheme="minorHAnsi" w:eastAsiaTheme="minorEastAsia" w:hAnsiTheme="minorHAnsi" w:cstheme="minorBidi"/>
                <w:noProof/>
                <w:kern w:val="2"/>
                <w14:ligatures w14:val="standardContextual"/>
              </w:rPr>
              <w:tab/>
            </w:r>
            <w:r w:rsidRPr="002D2F21">
              <w:rPr>
                <w:rStyle w:val="Hipervnculo"/>
                <w:noProof/>
              </w:rPr>
              <w:t>Objetivos específicos</w:t>
            </w:r>
            <w:r>
              <w:rPr>
                <w:noProof/>
                <w:webHidden/>
              </w:rPr>
              <w:tab/>
            </w:r>
            <w:r>
              <w:rPr>
                <w:noProof/>
                <w:webHidden/>
              </w:rPr>
              <w:fldChar w:fldCharType="begin"/>
            </w:r>
            <w:r>
              <w:rPr>
                <w:noProof/>
                <w:webHidden/>
              </w:rPr>
              <w:instrText xml:space="preserve"> PAGEREF _Toc167743143 \h </w:instrText>
            </w:r>
            <w:r>
              <w:rPr>
                <w:noProof/>
                <w:webHidden/>
              </w:rPr>
            </w:r>
            <w:r>
              <w:rPr>
                <w:noProof/>
                <w:webHidden/>
              </w:rPr>
              <w:fldChar w:fldCharType="separate"/>
            </w:r>
            <w:r>
              <w:rPr>
                <w:noProof/>
                <w:webHidden/>
              </w:rPr>
              <w:t>7</w:t>
            </w:r>
            <w:r>
              <w:rPr>
                <w:noProof/>
                <w:webHidden/>
              </w:rPr>
              <w:fldChar w:fldCharType="end"/>
            </w:r>
          </w:hyperlink>
        </w:p>
        <w:p w14:paraId="4BC5578B" w14:textId="5B226FAE" w:rsidR="00C52105" w:rsidRDefault="00C52105">
          <w:pPr>
            <w:pStyle w:val="TDC1"/>
            <w:tabs>
              <w:tab w:val="left" w:pos="442"/>
            </w:tabs>
            <w:rPr>
              <w:rFonts w:asciiTheme="minorHAnsi" w:eastAsiaTheme="minorEastAsia" w:hAnsiTheme="minorHAnsi" w:cstheme="minorBidi"/>
              <w:noProof/>
              <w:kern w:val="2"/>
              <w14:ligatures w14:val="standardContextual"/>
            </w:rPr>
          </w:pPr>
          <w:hyperlink w:anchor="_Toc167743144" w:history="1">
            <w:r w:rsidRPr="002D2F21">
              <w:rPr>
                <w:rStyle w:val="Hipervnculo"/>
                <w:noProof/>
              </w:rPr>
              <w:t>3.</w:t>
            </w:r>
            <w:r>
              <w:rPr>
                <w:rFonts w:asciiTheme="minorHAnsi" w:eastAsiaTheme="minorEastAsia" w:hAnsiTheme="minorHAnsi" w:cstheme="minorBidi"/>
                <w:noProof/>
                <w:kern w:val="2"/>
                <w14:ligatures w14:val="standardContextual"/>
              </w:rPr>
              <w:tab/>
            </w:r>
            <w:r w:rsidRPr="002D2F21">
              <w:rPr>
                <w:rStyle w:val="Hipervnculo"/>
                <w:noProof/>
              </w:rPr>
              <w:t>Datos</w:t>
            </w:r>
            <w:r>
              <w:rPr>
                <w:noProof/>
                <w:webHidden/>
              </w:rPr>
              <w:tab/>
            </w:r>
            <w:r>
              <w:rPr>
                <w:noProof/>
                <w:webHidden/>
              </w:rPr>
              <w:fldChar w:fldCharType="begin"/>
            </w:r>
            <w:r>
              <w:rPr>
                <w:noProof/>
                <w:webHidden/>
              </w:rPr>
              <w:instrText xml:space="preserve"> PAGEREF _Toc167743144 \h </w:instrText>
            </w:r>
            <w:r>
              <w:rPr>
                <w:noProof/>
                <w:webHidden/>
              </w:rPr>
            </w:r>
            <w:r>
              <w:rPr>
                <w:noProof/>
                <w:webHidden/>
              </w:rPr>
              <w:fldChar w:fldCharType="separate"/>
            </w:r>
            <w:r>
              <w:rPr>
                <w:noProof/>
                <w:webHidden/>
              </w:rPr>
              <w:t>8</w:t>
            </w:r>
            <w:r>
              <w:rPr>
                <w:noProof/>
                <w:webHidden/>
              </w:rPr>
              <w:fldChar w:fldCharType="end"/>
            </w:r>
          </w:hyperlink>
        </w:p>
        <w:p w14:paraId="6CBC4117" w14:textId="7A1974B5"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5" w:history="1">
            <w:r w:rsidRPr="002D2F21">
              <w:rPr>
                <w:rStyle w:val="Hipervnculo"/>
                <w:noProof/>
              </w:rPr>
              <w:t>3.1.</w:t>
            </w:r>
            <w:r>
              <w:rPr>
                <w:rFonts w:asciiTheme="minorHAnsi" w:eastAsiaTheme="minorEastAsia" w:hAnsiTheme="minorHAnsi" w:cstheme="minorBidi"/>
                <w:noProof/>
                <w:kern w:val="2"/>
                <w14:ligatures w14:val="standardContextual"/>
              </w:rPr>
              <w:tab/>
            </w:r>
            <w:r w:rsidRPr="002D2F21">
              <w:rPr>
                <w:rStyle w:val="Hipervnculo"/>
                <w:noProof/>
              </w:rPr>
              <w:t>Datos originales</w:t>
            </w:r>
            <w:r>
              <w:rPr>
                <w:noProof/>
                <w:webHidden/>
              </w:rPr>
              <w:tab/>
            </w:r>
            <w:r>
              <w:rPr>
                <w:noProof/>
                <w:webHidden/>
              </w:rPr>
              <w:fldChar w:fldCharType="begin"/>
            </w:r>
            <w:r>
              <w:rPr>
                <w:noProof/>
                <w:webHidden/>
              </w:rPr>
              <w:instrText xml:space="preserve"> PAGEREF _Toc167743145 \h </w:instrText>
            </w:r>
            <w:r>
              <w:rPr>
                <w:noProof/>
                <w:webHidden/>
              </w:rPr>
            </w:r>
            <w:r>
              <w:rPr>
                <w:noProof/>
                <w:webHidden/>
              </w:rPr>
              <w:fldChar w:fldCharType="separate"/>
            </w:r>
            <w:r>
              <w:rPr>
                <w:noProof/>
                <w:webHidden/>
              </w:rPr>
              <w:t>8</w:t>
            </w:r>
            <w:r>
              <w:rPr>
                <w:noProof/>
                <w:webHidden/>
              </w:rPr>
              <w:fldChar w:fldCharType="end"/>
            </w:r>
          </w:hyperlink>
        </w:p>
        <w:p w14:paraId="0D1A0825" w14:textId="7768FB4E"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6" w:history="1">
            <w:r w:rsidRPr="002D2F21">
              <w:rPr>
                <w:rStyle w:val="Hipervnculo"/>
                <w:noProof/>
              </w:rPr>
              <w:t>3.2.</w:t>
            </w:r>
            <w:r>
              <w:rPr>
                <w:rFonts w:asciiTheme="minorHAnsi" w:eastAsiaTheme="minorEastAsia" w:hAnsiTheme="minorHAnsi" w:cstheme="minorBidi"/>
                <w:noProof/>
                <w:kern w:val="2"/>
                <w14:ligatures w14:val="standardContextual"/>
              </w:rPr>
              <w:tab/>
            </w:r>
            <w:r w:rsidRPr="002D2F21">
              <w:rPr>
                <w:rStyle w:val="Hipervnculo"/>
                <w:noProof/>
              </w:rPr>
              <w:t>Datasets</w:t>
            </w:r>
            <w:r>
              <w:rPr>
                <w:noProof/>
                <w:webHidden/>
              </w:rPr>
              <w:tab/>
            </w:r>
            <w:r>
              <w:rPr>
                <w:noProof/>
                <w:webHidden/>
              </w:rPr>
              <w:fldChar w:fldCharType="begin"/>
            </w:r>
            <w:r>
              <w:rPr>
                <w:noProof/>
                <w:webHidden/>
              </w:rPr>
              <w:instrText xml:space="preserve"> PAGEREF _Toc167743146 \h </w:instrText>
            </w:r>
            <w:r>
              <w:rPr>
                <w:noProof/>
                <w:webHidden/>
              </w:rPr>
            </w:r>
            <w:r>
              <w:rPr>
                <w:noProof/>
                <w:webHidden/>
              </w:rPr>
              <w:fldChar w:fldCharType="separate"/>
            </w:r>
            <w:r>
              <w:rPr>
                <w:noProof/>
                <w:webHidden/>
              </w:rPr>
              <w:t>9</w:t>
            </w:r>
            <w:r>
              <w:rPr>
                <w:noProof/>
                <w:webHidden/>
              </w:rPr>
              <w:fldChar w:fldCharType="end"/>
            </w:r>
          </w:hyperlink>
        </w:p>
        <w:p w14:paraId="3AB71F6D" w14:textId="32863F72" w:rsidR="00C52105" w:rsidRDefault="00C52105">
          <w:pPr>
            <w:pStyle w:val="TDC2"/>
            <w:tabs>
              <w:tab w:val="left" w:pos="958"/>
              <w:tab w:val="right" w:leader="dot" w:pos="9394"/>
            </w:tabs>
            <w:rPr>
              <w:rFonts w:asciiTheme="minorHAnsi" w:eastAsiaTheme="minorEastAsia" w:hAnsiTheme="minorHAnsi" w:cstheme="minorBidi"/>
              <w:noProof/>
              <w:kern w:val="2"/>
              <w14:ligatures w14:val="standardContextual"/>
            </w:rPr>
          </w:pPr>
          <w:hyperlink w:anchor="_Toc167743147" w:history="1">
            <w:r w:rsidRPr="002D2F21">
              <w:rPr>
                <w:rStyle w:val="Hipervnculo"/>
                <w:noProof/>
              </w:rPr>
              <w:t>3.3.</w:t>
            </w:r>
            <w:r>
              <w:rPr>
                <w:rFonts w:asciiTheme="minorHAnsi" w:eastAsiaTheme="minorEastAsia" w:hAnsiTheme="minorHAnsi" w:cstheme="minorBidi"/>
                <w:noProof/>
                <w:kern w:val="2"/>
                <w14:ligatures w14:val="standardContextual"/>
              </w:rPr>
              <w:tab/>
            </w:r>
            <w:r w:rsidRPr="002D2F21">
              <w:rPr>
                <w:rStyle w:val="Hipervnculo"/>
                <w:noProof/>
              </w:rPr>
              <w:t>Analítica descriptiva</w:t>
            </w:r>
            <w:r>
              <w:rPr>
                <w:noProof/>
                <w:webHidden/>
              </w:rPr>
              <w:tab/>
            </w:r>
            <w:r>
              <w:rPr>
                <w:noProof/>
                <w:webHidden/>
              </w:rPr>
              <w:fldChar w:fldCharType="begin"/>
            </w:r>
            <w:r>
              <w:rPr>
                <w:noProof/>
                <w:webHidden/>
              </w:rPr>
              <w:instrText xml:space="preserve"> PAGEREF _Toc167743147 \h </w:instrText>
            </w:r>
            <w:r>
              <w:rPr>
                <w:noProof/>
                <w:webHidden/>
              </w:rPr>
            </w:r>
            <w:r>
              <w:rPr>
                <w:noProof/>
                <w:webHidden/>
              </w:rPr>
              <w:fldChar w:fldCharType="separate"/>
            </w:r>
            <w:r>
              <w:rPr>
                <w:noProof/>
                <w:webHidden/>
              </w:rPr>
              <w:t>11</w:t>
            </w:r>
            <w:r>
              <w:rPr>
                <w:noProof/>
                <w:webHidden/>
              </w:rPr>
              <w:fldChar w:fldCharType="end"/>
            </w:r>
          </w:hyperlink>
        </w:p>
        <w:p w14:paraId="1E3D63FA" w14:textId="65011C98" w:rsidR="00C52105" w:rsidRDefault="00C52105">
          <w:pPr>
            <w:pStyle w:val="TDC1"/>
            <w:rPr>
              <w:rFonts w:asciiTheme="minorHAnsi" w:eastAsiaTheme="minorEastAsia" w:hAnsiTheme="minorHAnsi" w:cstheme="minorBidi"/>
              <w:noProof/>
              <w:kern w:val="2"/>
              <w14:ligatures w14:val="standardContextual"/>
            </w:rPr>
          </w:pPr>
          <w:hyperlink w:anchor="_Toc167743148" w:history="1">
            <w:r w:rsidRPr="002D2F21">
              <w:rPr>
                <w:rStyle w:val="Hipervnculo"/>
                <w:noProof/>
              </w:rPr>
              <w:t>Referencias</w:t>
            </w:r>
            <w:r>
              <w:rPr>
                <w:noProof/>
                <w:webHidden/>
              </w:rPr>
              <w:tab/>
            </w:r>
            <w:r>
              <w:rPr>
                <w:noProof/>
                <w:webHidden/>
              </w:rPr>
              <w:fldChar w:fldCharType="begin"/>
            </w:r>
            <w:r>
              <w:rPr>
                <w:noProof/>
                <w:webHidden/>
              </w:rPr>
              <w:instrText xml:space="preserve"> PAGEREF _Toc167743148 \h </w:instrText>
            </w:r>
            <w:r>
              <w:rPr>
                <w:noProof/>
                <w:webHidden/>
              </w:rPr>
            </w:r>
            <w:r>
              <w:rPr>
                <w:noProof/>
                <w:webHidden/>
              </w:rPr>
              <w:fldChar w:fldCharType="separate"/>
            </w:r>
            <w:r>
              <w:rPr>
                <w:noProof/>
                <w:webHidden/>
              </w:rPr>
              <w:t>16</w:t>
            </w:r>
            <w:r>
              <w:rPr>
                <w:noProof/>
                <w:webHidden/>
              </w:rPr>
              <w:fldChar w:fldCharType="end"/>
            </w:r>
          </w:hyperlink>
        </w:p>
        <w:p w14:paraId="340AEE87" w14:textId="34313D52" w:rsidR="00C52105" w:rsidRDefault="00C52105">
          <w:r>
            <w:rPr>
              <w:b/>
              <w:bCs/>
              <w:lang w:val="es-ES"/>
            </w:rPr>
            <w:fldChar w:fldCharType="end"/>
          </w:r>
        </w:p>
      </w:sdtContent>
    </w:sdt>
    <w:p w14:paraId="31080D7C" w14:textId="77777777" w:rsidR="00E11DF3" w:rsidRDefault="00000000">
      <w:pPr>
        <w:jc w:val="center"/>
        <w:rPr>
          <w:b/>
        </w:rPr>
      </w:pPr>
      <w:r>
        <w:t xml:space="preserve"> </w:t>
      </w:r>
      <w:r>
        <w:br w:type="page"/>
      </w:r>
    </w:p>
    <w:p w14:paraId="1CFA0F9D" w14:textId="77777777" w:rsidR="00E11DF3" w:rsidRDefault="00000000">
      <w:pPr>
        <w:jc w:val="center"/>
        <w:rPr>
          <w:b/>
        </w:rPr>
      </w:pPr>
      <w:r>
        <w:rPr>
          <w:b/>
        </w:rPr>
        <w:lastRenderedPageBreak/>
        <w:t>Lista de tablas</w:t>
      </w:r>
    </w:p>
    <w:p w14:paraId="11862322" w14:textId="6EA6EB08" w:rsidR="007652E4" w:rsidRDefault="007652E4">
      <w:pPr>
        <w:pStyle w:val="Tabladeilustraciones"/>
        <w:tabs>
          <w:tab w:val="right" w:leader="dot" w:pos="9394"/>
        </w:tabs>
        <w:rPr>
          <w:rFonts w:asciiTheme="minorHAnsi" w:eastAsiaTheme="minorEastAsia" w:hAnsiTheme="minorHAnsi" w:cstheme="minorBidi"/>
          <w:noProof/>
          <w:kern w:val="2"/>
          <w14:ligatures w14:val="standardContextual"/>
        </w:rPr>
      </w:pPr>
      <w:r>
        <w:rPr>
          <w:b/>
        </w:rPr>
        <w:fldChar w:fldCharType="begin"/>
      </w:r>
      <w:r>
        <w:rPr>
          <w:b/>
        </w:rPr>
        <w:instrText xml:space="preserve"> TOC \h \z \c "Tabla" </w:instrText>
      </w:r>
      <w:r>
        <w:rPr>
          <w:b/>
        </w:rPr>
        <w:fldChar w:fldCharType="separate"/>
      </w:r>
      <w:hyperlink w:anchor="_Toc167742374" w:history="1">
        <w:r w:rsidRPr="00F64F7D">
          <w:rPr>
            <w:rStyle w:val="Hipervnculo"/>
            <w:noProof/>
          </w:rPr>
          <w:t>Tabla 1. Variables disponibles en l</w:t>
        </w:r>
        <w:r w:rsidRPr="00F64F7D">
          <w:rPr>
            <w:rStyle w:val="Hipervnculo"/>
            <w:noProof/>
          </w:rPr>
          <w:t>a</w:t>
        </w:r>
        <w:r w:rsidRPr="00F64F7D">
          <w:rPr>
            <w:rStyle w:val="Hipervnculo"/>
            <w:noProof/>
          </w:rPr>
          <w:t xml:space="preserve"> tabla iot_power_meters</w:t>
        </w:r>
        <w:r>
          <w:rPr>
            <w:noProof/>
            <w:webHidden/>
          </w:rPr>
          <w:tab/>
        </w:r>
        <w:r>
          <w:rPr>
            <w:noProof/>
            <w:webHidden/>
          </w:rPr>
          <w:fldChar w:fldCharType="begin"/>
        </w:r>
        <w:r>
          <w:rPr>
            <w:noProof/>
            <w:webHidden/>
          </w:rPr>
          <w:instrText xml:space="preserve"> PAGEREF _Toc167742374 \h </w:instrText>
        </w:r>
        <w:r>
          <w:rPr>
            <w:noProof/>
            <w:webHidden/>
          </w:rPr>
        </w:r>
        <w:r>
          <w:rPr>
            <w:noProof/>
            <w:webHidden/>
          </w:rPr>
          <w:fldChar w:fldCharType="separate"/>
        </w:r>
        <w:r>
          <w:rPr>
            <w:noProof/>
            <w:webHidden/>
          </w:rPr>
          <w:t>8</w:t>
        </w:r>
        <w:r>
          <w:rPr>
            <w:noProof/>
            <w:webHidden/>
          </w:rPr>
          <w:fldChar w:fldCharType="end"/>
        </w:r>
      </w:hyperlink>
    </w:p>
    <w:p w14:paraId="61FE951C" w14:textId="4AE69FEF" w:rsidR="007652E4" w:rsidRDefault="00000000">
      <w:pPr>
        <w:pStyle w:val="Tabladeilustraciones"/>
        <w:tabs>
          <w:tab w:val="right" w:leader="dot" w:pos="9394"/>
        </w:tabs>
        <w:rPr>
          <w:rFonts w:asciiTheme="minorHAnsi" w:eastAsiaTheme="minorEastAsia" w:hAnsiTheme="minorHAnsi" w:cstheme="minorBidi"/>
          <w:noProof/>
          <w:kern w:val="2"/>
          <w14:ligatures w14:val="standardContextual"/>
        </w:rPr>
      </w:pPr>
      <w:hyperlink w:anchor="_Toc167742375" w:history="1">
        <w:r w:rsidR="007652E4" w:rsidRPr="00F64F7D">
          <w:rPr>
            <w:rStyle w:val="Hipervnculo"/>
            <w:noProof/>
          </w:rPr>
          <w:t>Tabla 2. Tabla original de valores de consumo de energía</w:t>
        </w:r>
        <w:r w:rsidR="007652E4">
          <w:rPr>
            <w:noProof/>
            <w:webHidden/>
          </w:rPr>
          <w:tab/>
        </w:r>
        <w:r w:rsidR="007652E4">
          <w:rPr>
            <w:noProof/>
            <w:webHidden/>
          </w:rPr>
          <w:fldChar w:fldCharType="begin"/>
        </w:r>
        <w:r w:rsidR="007652E4">
          <w:rPr>
            <w:noProof/>
            <w:webHidden/>
          </w:rPr>
          <w:instrText xml:space="preserve"> PAGEREF _Toc167742375 \h </w:instrText>
        </w:r>
        <w:r w:rsidR="007652E4">
          <w:rPr>
            <w:noProof/>
            <w:webHidden/>
          </w:rPr>
        </w:r>
        <w:r w:rsidR="007652E4">
          <w:rPr>
            <w:noProof/>
            <w:webHidden/>
          </w:rPr>
          <w:fldChar w:fldCharType="separate"/>
        </w:r>
        <w:r w:rsidR="007652E4">
          <w:rPr>
            <w:noProof/>
            <w:webHidden/>
          </w:rPr>
          <w:t>10</w:t>
        </w:r>
        <w:r w:rsidR="007652E4">
          <w:rPr>
            <w:noProof/>
            <w:webHidden/>
          </w:rPr>
          <w:fldChar w:fldCharType="end"/>
        </w:r>
      </w:hyperlink>
    </w:p>
    <w:p w14:paraId="7EAB3121" w14:textId="2A4F786C" w:rsidR="007652E4" w:rsidRDefault="00000000">
      <w:pPr>
        <w:pStyle w:val="Tabladeilustraciones"/>
        <w:tabs>
          <w:tab w:val="right" w:leader="dot" w:pos="9394"/>
        </w:tabs>
        <w:rPr>
          <w:rFonts w:asciiTheme="minorHAnsi" w:eastAsiaTheme="minorEastAsia" w:hAnsiTheme="minorHAnsi" w:cstheme="minorBidi"/>
          <w:noProof/>
          <w:kern w:val="2"/>
          <w14:ligatures w14:val="standardContextual"/>
        </w:rPr>
      </w:pPr>
      <w:hyperlink w:anchor="_Toc167742376" w:history="1">
        <w:r w:rsidR="007652E4" w:rsidRPr="00F64F7D">
          <w:rPr>
            <w:rStyle w:val="Hipervnculo"/>
            <w:noProof/>
          </w:rPr>
          <w:t>Tabla 3. Tabla depurada de valores de consumo de energía</w:t>
        </w:r>
        <w:r w:rsidR="007652E4">
          <w:rPr>
            <w:noProof/>
            <w:webHidden/>
          </w:rPr>
          <w:tab/>
        </w:r>
        <w:r w:rsidR="007652E4">
          <w:rPr>
            <w:noProof/>
            <w:webHidden/>
          </w:rPr>
          <w:fldChar w:fldCharType="begin"/>
        </w:r>
        <w:r w:rsidR="007652E4">
          <w:rPr>
            <w:noProof/>
            <w:webHidden/>
          </w:rPr>
          <w:instrText xml:space="preserve"> PAGEREF _Toc167742376 \h </w:instrText>
        </w:r>
        <w:r w:rsidR="007652E4">
          <w:rPr>
            <w:noProof/>
            <w:webHidden/>
          </w:rPr>
        </w:r>
        <w:r w:rsidR="007652E4">
          <w:rPr>
            <w:noProof/>
            <w:webHidden/>
          </w:rPr>
          <w:fldChar w:fldCharType="separate"/>
        </w:r>
        <w:r w:rsidR="007652E4">
          <w:rPr>
            <w:noProof/>
            <w:webHidden/>
          </w:rPr>
          <w:t>10</w:t>
        </w:r>
        <w:r w:rsidR="007652E4">
          <w:rPr>
            <w:noProof/>
            <w:webHidden/>
          </w:rPr>
          <w:fldChar w:fldCharType="end"/>
        </w:r>
      </w:hyperlink>
    </w:p>
    <w:p w14:paraId="0888B6A7" w14:textId="265A53F3" w:rsidR="007652E4" w:rsidRDefault="00000000">
      <w:pPr>
        <w:pStyle w:val="Tabladeilustraciones"/>
        <w:tabs>
          <w:tab w:val="right" w:leader="dot" w:pos="9394"/>
        </w:tabs>
        <w:rPr>
          <w:rFonts w:asciiTheme="minorHAnsi" w:eastAsiaTheme="minorEastAsia" w:hAnsiTheme="minorHAnsi" w:cstheme="minorBidi"/>
          <w:noProof/>
          <w:kern w:val="2"/>
          <w14:ligatures w14:val="standardContextual"/>
        </w:rPr>
      </w:pPr>
      <w:hyperlink w:anchor="_Toc167742377" w:history="1">
        <w:r w:rsidR="007652E4" w:rsidRPr="00F64F7D">
          <w:rPr>
            <w:rStyle w:val="Hipervnculo"/>
            <w:noProof/>
          </w:rPr>
          <w:t>Tabla 4. Identificación de valores atípicos utilizando el rango intercuartil</w:t>
        </w:r>
        <w:r w:rsidR="007652E4">
          <w:rPr>
            <w:noProof/>
            <w:webHidden/>
          </w:rPr>
          <w:tab/>
        </w:r>
        <w:r w:rsidR="007652E4">
          <w:rPr>
            <w:noProof/>
            <w:webHidden/>
          </w:rPr>
          <w:fldChar w:fldCharType="begin"/>
        </w:r>
        <w:r w:rsidR="007652E4">
          <w:rPr>
            <w:noProof/>
            <w:webHidden/>
          </w:rPr>
          <w:instrText xml:space="preserve"> PAGEREF _Toc167742377 \h </w:instrText>
        </w:r>
        <w:r w:rsidR="007652E4">
          <w:rPr>
            <w:noProof/>
            <w:webHidden/>
          </w:rPr>
        </w:r>
        <w:r w:rsidR="007652E4">
          <w:rPr>
            <w:noProof/>
            <w:webHidden/>
          </w:rPr>
          <w:fldChar w:fldCharType="separate"/>
        </w:r>
        <w:r w:rsidR="007652E4">
          <w:rPr>
            <w:noProof/>
            <w:webHidden/>
          </w:rPr>
          <w:t>15</w:t>
        </w:r>
        <w:r w:rsidR="007652E4">
          <w:rPr>
            <w:noProof/>
            <w:webHidden/>
          </w:rPr>
          <w:fldChar w:fldCharType="end"/>
        </w:r>
      </w:hyperlink>
    </w:p>
    <w:p w14:paraId="222B5F4D" w14:textId="13E6193A" w:rsidR="007652E4" w:rsidRDefault="007652E4">
      <w:pPr>
        <w:jc w:val="center"/>
        <w:rPr>
          <w:b/>
        </w:rPr>
      </w:pPr>
      <w:r>
        <w:rPr>
          <w:b/>
        </w:rPr>
        <w:fldChar w:fldCharType="end"/>
      </w:r>
    </w:p>
    <w:p w14:paraId="7D628D1A" w14:textId="77777777" w:rsidR="007652E4" w:rsidRDefault="007652E4">
      <w:pPr>
        <w:rPr>
          <w:b/>
        </w:rPr>
      </w:pPr>
      <w:r>
        <w:rPr>
          <w:b/>
        </w:rPr>
        <w:br w:type="page"/>
      </w:r>
    </w:p>
    <w:p w14:paraId="01617C31" w14:textId="77777777" w:rsidR="007652E4" w:rsidRDefault="007652E4">
      <w:pPr>
        <w:jc w:val="center"/>
        <w:rPr>
          <w:b/>
        </w:rPr>
      </w:pPr>
    </w:p>
    <w:p w14:paraId="187EC6E1" w14:textId="77777777" w:rsidR="00E11DF3" w:rsidRDefault="00000000">
      <w:pPr>
        <w:jc w:val="center"/>
        <w:rPr>
          <w:b/>
        </w:rPr>
      </w:pPr>
      <w:r>
        <w:rPr>
          <w:b/>
        </w:rPr>
        <w:t>Lista de figuras</w:t>
      </w:r>
    </w:p>
    <w:p w14:paraId="71B848E6" w14:textId="06B2AF36" w:rsidR="007652E4" w:rsidRDefault="007652E4">
      <w:pPr>
        <w:pStyle w:val="Tabladeilustraciones"/>
        <w:tabs>
          <w:tab w:val="right" w:leader="dot" w:pos="93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67742531" w:history="1">
        <w:r w:rsidRPr="00141C76">
          <w:rPr>
            <w:rStyle w:val="Hipervnculo"/>
            <w:noProof/>
          </w:rPr>
          <w:t>Figura 1. Correlación gráfica de variables de consumo de energía</w:t>
        </w:r>
        <w:r>
          <w:rPr>
            <w:noProof/>
            <w:webHidden/>
          </w:rPr>
          <w:tab/>
        </w:r>
        <w:r>
          <w:rPr>
            <w:noProof/>
            <w:webHidden/>
          </w:rPr>
          <w:fldChar w:fldCharType="begin"/>
        </w:r>
        <w:r>
          <w:rPr>
            <w:noProof/>
            <w:webHidden/>
          </w:rPr>
          <w:instrText xml:space="preserve"> PAGEREF _Toc167742531 \h </w:instrText>
        </w:r>
        <w:r>
          <w:rPr>
            <w:noProof/>
            <w:webHidden/>
          </w:rPr>
        </w:r>
        <w:r>
          <w:rPr>
            <w:noProof/>
            <w:webHidden/>
          </w:rPr>
          <w:fldChar w:fldCharType="separate"/>
        </w:r>
        <w:r>
          <w:rPr>
            <w:noProof/>
            <w:webHidden/>
          </w:rPr>
          <w:t>12</w:t>
        </w:r>
        <w:r>
          <w:rPr>
            <w:noProof/>
            <w:webHidden/>
          </w:rPr>
          <w:fldChar w:fldCharType="end"/>
        </w:r>
      </w:hyperlink>
    </w:p>
    <w:p w14:paraId="45D19F3C" w14:textId="598290C7" w:rsidR="007652E4" w:rsidRDefault="00000000">
      <w:pPr>
        <w:pStyle w:val="Tabladeilustraciones"/>
        <w:tabs>
          <w:tab w:val="right" w:leader="dot" w:pos="9394"/>
        </w:tabs>
        <w:rPr>
          <w:rFonts w:asciiTheme="minorHAnsi" w:eastAsiaTheme="minorEastAsia" w:hAnsiTheme="minorHAnsi" w:cstheme="minorBidi"/>
          <w:noProof/>
          <w:kern w:val="2"/>
          <w14:ligatures w14:val="standardContextual"/>
        </w:rPr>
      </w:pPr>
      <w:hyperlink w:anchor="_Toc167742532" w:history="1">
        <w:r w:rsidR="007652E4" w:rsidRPr="00141C76">
          <w:rPr>
            <w:rStyle w:val="Hipervnculo"/>
            <w:noProof/>
          </w:rPr>
          <w:t>Figura 2. Correlación de variables de consumo de energía utilizando coeficiente de Pearson</w:t>
        </w:r>
        <w:r w:rsidR="007652E4">
          <w:rPr>
            <w:noProof/>
            <w:webHidden/>
          </w:rPr>
          <w:tab/>
        </w:r>
        <w:r w:rsidR="007652E4">
          <w:rPr>
            <w:noProof/>
            <w:webHidden/>
          </w:rPr>
          <w:fldChar w:fldCharType="begin"/>
        </w:r>
        <w:r w:rsidR="007652E4">
          <w:rPr>
            <w:noProof/>
            <w:webHidden/>
          </w:rPr>
          <w:instrText xml:space="preserve"> PAGEREF _Toc167742532 \h </w:instrText>
        </w:r>
        <w:r w:rsidR="007652E4">
          <w:rPr>
            <w:noProof/>
            <w:webHidden/>
          </w:rPr>
        </w:r>
        <w:r w:rsidR="007652E4">
          <w:rPr>
            <w:noProof/>
            <w:webHidden/>
          </w:rPr>
          <w:fldChar w:fldCharType="separate"/>
        </w:r>
        <w:r w:rsidR="007652E4">
          <w:rPr>
            <w:noProof/>
            <w:webHidden/>
          </w:rPr>
          <w:t>13</w:t>
        </w:r>
        <w:r w:rsidR="007652E4">
          <w:rPr>
            <w:noProof/>
            <w:webHidden/>
          </w:rPr>
          <w:fldChar w:fldCharType="end"/>
        </w:r>
      </w:hyperlink>
    </w:p>
    <w:p w14:paraId="15D6880E" w14:textId="2C855FD9" w:rsidR="007652E4" w:rsidRDefault="00000000">
      <w:pPr>
        <w:pStyle w:val="Tabladeilustraciones"/>
        <w:tabs>
          <w:tab w:val="right" w:leader="dot" w:pos="9394"/>
        </w:tabs>
        <w:rPr>
          <w:rFonts w:asciiTheme="minorHAnsi" w:eastAsiaTheme="minorEastAsia" w:hAnsiTheme="minorHAnsi" w:cstheme="minorBidi"/>
          <w:noProof/>
          <w:kern w:val="2"/>
          <w14:ligatures w14:val="standardContextual"/>
        </w:rPr>
      </w:pPr>
      <w:hyperlink w:anchor="_Toc167742533" w:history="1">
        <w:r w:rsidR="007652E4" w:rsidRPr="00141C76">
          <w:rPr>
            <w:rStyle w:val="Hipervnculo"/>
            <w:noProof/>
          </w:rPr>
          <w:t>Figura 3. Distribución de variables de consumo de energía</w:t>
        </w:r>
        <w:r w:rsidR="007652E4">
          <w:rPr>
            <w:noProof/>
            <w:webHidden/>
          </w:rPr>
          <w:tab/>
        </w:r>
        <w:r w:rsidR="007652E4">
          <w:rPr>
            <w:noProof/>
            <w:webHidden/>
          </w:rPr>
          <w:fldChar w:fldCharType="begin"/>
        </w:r>
        <w:r w:rsidR="007652E4">
          <w:rPr>
            <w:noProof/>
            <w:webHidden/>
          </w:rPr>
          <w:instrText xml:space="preserve"> PAGEREF _Toc167742533 \h </w:instrText>
        </w:r>
        <w:r w:rsidR="007652E4">
          <w:rPr>
            <w:noProof/>
            <w:webHidden/>
          </w:rPr>
        </w:r>
        <w:r w:rsidR="007652E4">
          <w:rPr>
            <w:noProof/>
            <w:webHidden/>
          </w:rPr>
          <w:fldChar w:fldCharType="separate"/>
        </w:r>
        <w:r w:rsidR="007652E4">
          <w:rPr>
            <w:noProof/>
            <w:webHidden/>
          </w:rPr>
          <w:t>14</w:t>
        </w:r>
        <w:r w:rsidR="007652E4">
          <w:rPr>
            <w:noProof/>
            <w:webHidden/>
          </w:rPr>
          <w:fldChar w:fldCharType="end"/>
        </w:r>
      </w:hyperlink>
    </w:p>
    <w:p w14:paraId="362292A7" w14:textId="622E50F5" w:rsidR="00E11DF3" w:rsidRDefault="007652E4">
      <w:r>
        <w:fldChar w:fldCharType="end"/>
      </w:r>
    </w:p>
    <w:p w14:paraId="6760F1C6" w14:textId="77777777" w:rsidR="00E11DF3" w:rsidRDefault="00E11DF3"/>
    <w:p w14:paraId="0D28225B" w14:textId="77777777" w:rsidR="00E11DF3" w:rsidRDefault="00E11DF3"/>
    <w:p w14:paraId="57BAC656" w14:textId="77777777" w:rsidR="00E11DF3" w:rsidRDefault="00E11DF3"/>
    <w:p w14:paraId="3357C3CF" w14:textId="77777777" w:rsidR="00E11DF3" w:rsidRDefault="00E11DF3"/>
    <w:p w14:paraId="48FFAB9F" w14:textId="77777777" w:rsidR="00E11DF3" w:rsidRDefault="00E11DF3"/>
    <w:p w14:paraId="1367E149" w14:textId="77777777" w:rsidR="00E11DF3" w:rsidRDefault="00000000">
      <w:r>
        <w:t xml:space="preserve"> </w:t>
      </w:r>
    </w:p>
    <w:p w14:paraId="133A5DED" w14:textId="77777777" w:rsidR="00E11DF3" w:rsidRDefault="00000000">
      <w:pPr>
        <w:tabs>
          <w:tab w:val="left" w:pos="6787"/>
        </w:tabs>
      </w:pPr>
      <w:r>
        <w:tab/>
      </w:r>
    </w:p>
    <w:p w14:paraId="41320D9C" w14:textId="77777777" w:rsidR="00E11DF3" w:rsidRDefault="00E11DF3"/>
    <w:p w14:paraId="38410293" w14:textId="77777777" w:rsidR="00E11DF3" w:rsidRDefault="00E11DF3"/>
    <w:p w14:paraId="310C8045" w14:textId="77777777" w:rsidR="00E11DF3" w:rsidRDefault="00E11DF3"/>
    <w:p w14:paraId="47A199C1" w14:textId="77777777" w:rsidR="00E11DF3" w:rsidRDefault="00E11DF3"/>
    <w:p w14:paraId="1D944DEB" w14:textId="77777777" w:rsidR="00E11DF3" w:rsidRDefault="00E11DF3"/>
    <w:p w14:paraId="5D7DEAD0" w14:textId="77777777" w:rsidR="00E11DF3" w:rsidRDefault="00E11DF3"/>
    <w:p w14:paraId="42A6217A" w14:textId="77777777" w:rsidR="00E11DF3" w:rsidRDefault="00E11DF3"/>
    <w:p w14:paraId="7A5F1F15" w14:textId="77777777" w:rsidR="00E11DF3" w:rsidRDefault="00E11DF3"/>
    <w:p w14:paraId="2E3859B2" w14:textId="77777777" w:rsidR="00E11DF3" w:rsidRDefault="00000000">
      <w:pPr>
        <w:spacing w:after="160" w:line="259" w:lineRule="auto"/>
        <w:jc w:val="left"/>
        <w:rPr>
          <w:b/>
        </w:rPr>
      </w:pPr>
      <w:bookmarkStart w:id="5" w:name="_heading=h.lnxbz9" w:colFirst="0" w:colLast="0"/>
      <w:bookmarkEnd w:id="5"/>
      <w:r>
        <w:br w:type="page"/>
      </w:r>
    </w:p>
    <w:p w14:paraId="42D5DF40" w14:textId="77777777" w:rsidR="00E11DF3" w:rsidRDefault="00000000">
      <w:pPr>
        <w:pStyle w:val="Ttulo1"/>
        <w:numPr>
          <w:ilvl w:val="0"/>
          <w:numId w:val="3"/>
        </w:numPr>
      </w:pPr>
      <w:bookmarkStart w:id="6" w:name="_Toc167743136"/>
      <w:r>
        <w:lastRenderedPageBreak/>
        <w:t>Descripción del problema</w:t>
      </w:r>
      <w:bookmarkEnd w:id="6"/>
    </w:p>
    <w:p w14:paraId="21E26F12" w14:textId="77777777" w:rsidR="00E11DF3" w:rsidRDefault="00E11DF3">
      <w:pPr>
        <w:ind w:left="720"/>
      </w:pPr>
    </w:p>
    <w:p w14:paraId="06CBD0B2" w14:textId="77777777" w:rsidR="00E11DF3" w:rsidRDefault="00000000">
      <w:pPr>
        <w:ind w:firstLine="708"/>
      </w:pPr>
      <w:r>
        <w:t>Una empresa de productos lácteos requiere disminuir los costos asociados al consumo de energía en una planta de producción. Se aplicarán modelos para pronosticar la generación de energía reactiva que afecta el consumo pero no agrega valor a la empresa. Se cuenta con datos del historial de consumo de energía eléctrica desde el año 2020 y con datos capturados por sensores instalados en las máquinas de la planta desde el año 2023. Las métricas de desempeño son las asociadas a la precisión de los modelos y el valor de la facturación mensual.</w:t>
      </w:r>
    </w:p>
    <w:p w14:paraId="5411F742" w14:textId="77777777" w:rsidR="00E11DF3" w:rsidRDefault="00E11DF3">
      <w:pPr>
        <w:spacing w:line="276" w:lineRule="auto"/>
        <w:jc w:val="left"/>
        <w:rPr>
          <w:rFonts w:ascii="Arial" w:eastAsia="Arial" w:hAnsi="Arial" w:cs="Arial"/>
          <w:sz w:val="22"/>
          <w:szCs w:val="22"/>
        </w:rPr>
      </w:pPr>
    </w:p>
    <w:p w14:paraId="50477A77" w14:textId="77777777" w:rsidR="00E11DF3" w:rsidRDefault="00E11DF3">
      <w:pPr>
        <w:rPr>
          <w:b/>
        </w:rPr>
      </w:pPr>
    </w:p>
    <w:p w14:paraId="6131F8C0" w14:textId="77777777" w:rsidR="00E11DF3" w:rsidRDefault="00000000">
      <w:pPr>
        <w:pStyle w:val="Ttulo2"/>
        <w:numPr>
          <w:ilvl w:val="1"/>
          <w:numId w:val="2"/>
        </w:numPr>
      </w:pPr>
      <w:r>
        <w:t xml:space="preserve"> </w:t>
      </w:r>
      <w:bookmarkStart w:id="7" w:name="_Toc167743137"/>
      <w:r>
        <w:t>Problema de negocio</w:t>
      </w:r>
      <w:bookmarkEnd w:id="7"/>
    </w:p>
    <w:p w14:paraId="5520CF91" w14:textId="77777777" w:rsidR="00E11DF3" w:rsidRDefault="00000000">
      <w:pPr>
        <w:pBdr>
          <w:top w:val="nil"/>
          <w:left w:val="nil"/>
          <w:bottom w:val="nil"/>
          <w:right w:val="nil"/>
          <w:between w:val="nil"/>
        </w:pBdr>
        <w:ind w:firstLine="709"/>
        <w:rPr>
          <w:rFonts w:ascii="Arial" w:eastAsia="Arial" w:hAnsi="Arial" w:cs="Arial"/>
          <w:sz w:val="22"/>
          <w:szCs w:val="22"/>
        </w:rPr>
      </w:pPr>
      <w:r>
        <w:t>Una empresa de productos lácteos requiere disminuir los costos asociados al consumo de energía en una planta de producción.</w:t>
      </w:r>
    </w:p>
    <w:p w14:paraId="66C7C424" w14:textId="77777777" w:rsidR="00E11DF3" w:rsidRDefault="00E11DF3">
      <w:pPr>
        <w:rPr>
          <w:rFonts w:ascii="Arial" w:eastAsia="Arial" w:hAnsi="Arial" w:cs="Arial"/>
          <w:sz w:val="22"/>
          <w:szCs w:val="22"/>
        </w:rPr>
      </w:pPr>
    </w:p>
    <w:p w14:paraId="18BC8A73" w14:textId="77777777" w:rsidR="00E11DF3" w:rsidRDefault="00000000">
      <w:pPr>
        <w:shd w:val="clear" w:color="auto" w:fill="FFFFFF"/>
        <w:spacing w:after="240" w:line="330" w:lineRule="auto"/>
      </w:pPr>
      <w:r>
        <w:t xml:space="preserve">Según (CELSIA, 2022), la energía reactiva es un tipo de energía eléctrica absorbida o inyectada a la red por algunos equipos que para su funcionamiento necesitan un campo magnético, tales como motores, transformadores, ascensores, sistemas de bombeo de agua, motores de aireación de piscinas, iluminación eficiente, entre otros. La unidad de medida de este tipo de energía es kVArh. En complemento, de acuerdo con (EPM, 2023), la energía reactiva se puede entender como una energía que ocupa espacio de las redes eléctricas, pero no es útil a la hora de hacer trabajo. Como esta energía reactiva satura las redes, es necesario para las empresas reducirla a su mínima expresión para evitar problemas en la calidad de la energía, sobrecargas e ineficiencias que redundaría en mayores costos para prestar el servicio. </w:t>
      </w:r>
    </w:p>
    <w:p w14:paraId="14180A70" w14:textId="77777777" w:rsidR="00E11DF3" w:rsidRDefault="00000000">
      <w:pPr>
        <w:spacing w:before="240" w:after="240" w:line="276" w:lineRule="auto"/>
      </w:pPr>
      <w:r>
        <w:t>De acuerdo con lo indicado por el personal técnico de la Planta, en los últimos años, el nivel de generación de energía reactiva en planta ha ido en aumento, y aunque la información de energía global se conoce, no es posible identificar la totalidad de las fuentes que la están generando, lo cual tiene un impacto significativo sobre los costos de producción. La energía reactiva puede ser generada por múltiples fuentes (motores, equipos eléctricos, instalaciones, etc.) y puede variar según el estado de la maquinaria, la tecnología de las máquinas, el mantenimiento y otras variables no identificadas, por lo cual no es posible discriminar el aporte de cada fuente al sobrecosto establecido por el prestador de servicios de energía, lo cual dificulta la toma de decisiones para optimizar su uso.</w:t>
      </w:r>
    </w:p>
    <w:p w14:paraId="7955280D" w14:textId="77777777" w:rsidR="00E11DF3" w:rsidRDefault="00000000">
      <w:pPr>
        <w:shd w:val="clear" w:color="auto" w:fill="FFFFFF"/>
        <w:spacing w:after="240" w:line="330" w:lineRule="auto"/>
      </w:pPr>
      <w:r>
        <w:lastRenderedPageBreak/>
        <w:t>La Comisión Reguladora de Energía y Gas CREG, mediante Resoluciones 15 de 2018 (CREG, 2018), 199 de 2019 (CREG, 2020) y 195 de 2020 (CREG, 2022), ha emitido los lineamientos con los cuales se determina la variable M que establece el nivel en el que se encuentra una empresa, de acuerdo con la cantidad energía reactiva generada en determinado periodo de tiempo. Esta variable es la que utilizan los prestadores de servicios de energía para establecer las penalizaciones aplicadas por sobrepasar los límites establecidos en la normativa. En el año 2024 la Empresa se encuentra en el nivel 6 de 12 niveles posibles y ha venido en aumento, donde el nivel 12 es el de mayor sanción. Lo anterior se ve reflejado en un aumento en los pagos realizados a EPM asociados a la penalización por exceso de generación de energía reactiva.</w:t>
      </w:r>
    </w:p>
    <w:p w14:paraId="52EE71DC" w14:textId="77777777" w:rsidR="00E11DF3" w:rsidRDefault="00000000">
      <w:pPr>
        <w:spacing w:line="276" w:lineRule="auto"/>
        <w:rPr>
          <w:rFonts w:ascii="Arial" w:eastAsia="Arial" w:hAnsi="Arial" w:cs="Arial"/>
          <w:sz w:val="22"/>
          <w:szCs w:val="22"/>
        </w:rPr>
      </w:pPr>
      <w:r>
        <w:t>La situación se vuelve en un tema crítico para la gerencia de la Planta, al ver que los costos de producción aumentan por la generación de energía reactiva, y no se tiene establecido un plan para controlarla.</w:t>
      </w:r>
    </w:p>
    <w:p w14:paraId="2092D792" w14:textId="77777777" w:rsidR="00E11DF3" w:rsidRDefault="00E11DF3">
      <w:pPr>
        <w:spacing w:line="276" w:lineRule="auto"/>
        <w:rPr>
          <w:rFonts w:ascii="Arial" w:eastAsia="Arial" w:hAnsi="Arial" w:cs="Arial"/>
          <w:sz w:val="22"/>
          <w:szCs w:val="22"/>
        </w:rPr>
      </w:pPr>
    </w:p>
    <w:p w14:paraId="3C64BCED" w14:textId="77777777" w:rsidR="00E11DF3" w:rsidRDefault="00000000">
      <w:pPr>
        <w:pStyle w:val="Ttulo2"/>
        <w:numPr>
          <w:ilvl w:val="1"/>
          <w:numId w:val="2"/>
        </w:numPr>
      </w:pPr>
      <w:r>
        <w:t xml:space="preserve"> </w:t>
      </w:r>
      <w:bookmarkStart w:id="8" w:name="_Toc167743138"/>
      <w:r>
        <w:t>Aproximación desde la analítica de datos</w:t>
      </w:r>
      <w:bookmarkEnd w:id="8"/>
      <w:r>
        <w:t xml:space="preserve"> </w:t>
      </w:r>
    </w:p>
    <w:p w14:paraId="7FB0B579" w14:textId="07B9796C" w:rsidR="00E11DF3" w:rsidRDefault="00000000">
      <w:pPr>
        <w:pBdr>
          <w:top w:val="nil"/>
          <w:left w:val="nil"/>
          <w:bottom w:val="nil"/>
          <w:right w:val="nil"/>
          <w:between w:val="nil"/>
        </w:pBdr>
        <w:ind w:firstLine="709"/>
        <w:rPr>
          <w:rFonts w:ascii="Arial" w:eastAsia="Arial" w:hAnsi="Arial" w:cs="Arial"/>
          <w:sz w:val="22"/>
          <w:szCs w:val="22"/>
        </w:rPr>
      </w:pPr>
      <w:bookmarkStart w:id="9" w:name="_heading=h.2jxsxqh" w:colFirst="0" w:colLast="0"/>
      <w:bookmarkEnd w:id="9"/>
      <w:r>
        <w:t xml:space="preserve">Se aplicarán modelos estadísticos y de machine learning para pronosticar la generación de energía reactiva que afecta el consumo </w:t>
      </w:r>
      <w:r w:rsidR="007652E4">
        <w:t>energético,</w:t>
      </w:r>
      <w:r>
        <w:t xml:space="preserve"> pero no agrega valor a la empresa. Se espera </w:t>
      </w:r>
      <w:r w:rsidR="007652E4">
        <w:t>que,</w:t>
      </w:r>
      <w:r>
        <w:t xml:space="preserve"> con los resultados del modelo, el equipo técnico pueda tomar decisiones para controlar la energía reactiva generada que lleve a la reducción del valor de la facturación mensual.</w:t>
      </w:r>
    </w:p>
    <w:p w14:paraId="392ED9F2" w14:textId="77777777" w:rsidR="00E11DF3" w:rsidRDefault="00E11DF3"/>
    <w:p w14:paraId="556BDD79" w14:textId="77777777" w:rsidR="00E11DF3" w:rsidRDefault="00000000">
      <w:pPr>
        <w:pStyle w:val="Ttulo2"/>
        <w:numPr>
          <w:ilvl w:val="1"/>
          <w:numId w:val="2"/>
        </w:numPr>
      </w:pPr>
      <w:r>
        <w:t xml:space="preserve"> </w:t>
      </w:r>
      <w:bookmarkStart w:id="10" w:name="_Toc167743139"/>
      <w:r>
        <w:t>Origen de los datos</w:t>
      </w:r>
      <w:bookmarkEnd w:id="10"/>
    </w:p>
    <w:p w14:paraId="261C4C84" w14:textId="77777777" w:rsidR="00E11DF3" w:rsidRDefault="00000000">
      <w:pPr>
        <w:pBdr>
          <w:top w:val="nil"/>
          <w:left w:val="nil"/>
          <w:bottom w:val="nil"/>
          <w:right w:val="nil"/>
          <w:between w:val="nil"/>
        </w:pBdr>
        <w:ind w:firstLine="709"/>
      </w:pPr>
      <w:r>
        <w:t xml:space="preserve">Se cuenta con información de la energía activa y reactiva por hora para el periodo comprendido entre febrero de 2020 y mayo de 2024. Estos datos son proporcionados directamente por la empresa prestadora de servicios de energía eléctrica y son un instrumento para el control del pago de la facturación mensual. </w:t>
      </w:r>
    </w:p>
    <w:p w14:paraId="26B02A76" w14:textId="77777777" w:rsidR="00E11DF3" w:rsidRDefault="00E11DF3">
      <w:pPr>
        <w:pBdr>
          <w:top w:val="nil"/>
          <w:left w:val="nil"/>
          <w:bottom w:val="nil"/>
          <w:right w:val="nil"/>
          <w:between w:val="nil"/>
        </w:pBdr>
        <w:ind w:firstLine="709"/>
      </w:pPr>
    </w:p>
    <w:p w14:paraId="4F59C7C9" w14:textId="77777777" w:rsidR="00E11DF3" w:rsidRDefault="00000000">
      <w:pPr>
        <w:pBdr>
          <w:top w:val="nil"/>
          <w:left w:val="nil"/>
          <w:bottom w:val="nil"/>
          <w:right w:val="nil"/>
          <w:between w:val="nil"/>
        </w:pBdr>
        <w:ind w:firstLine="709"/>
      </w:pPr>
      <w:r>
        <w:t>Adicionalmente, se tienen mediciones de los sensores de los equipos, los cuales toman los datos por segundo de valores asociados al estado de los equipos para el seguimiento en la producción desde el año 2023, los cuales son almacenados en la nube a través del servicio de AWS.</w:t>
      </w:r>
    </w:p>
    <w:p w14:paraId="42523878" w14:textId="77777777" w:rsidR="00E11DF3" w:rsidRDefault="00E11DF3">
      <w:pPr>
        <w:pBdr>
          <w:top w:val="nil"/>
          <w:left w:val="nil"/>
          <w:bottom w:val="nil"/>
          <w:right w:val="nil"/>
          <w:between w:val="nil"/>
        </w:pBdr>
      </w:pPr>
    </w:p>
    <w:p w14:paraId="674D3440" w14:textId="77777777" w:rsidR="00E11DF3" w:rsidRDefault="00000000">
      <w:pPr>
        <w:pStyle w:val="Ttulo2"/>
        <w:numPr>
          <w:ilvl w:val="1"/>
          <w:numId w:val="2"/>
        </w:numPr>
      </w:pPr>
      <w:r>
        <w:t xml:space="preserve"> </w:t>
      </w:r>
      <w:bookmarkStart w:id="11" w:name="_Toc167743140"/>
      <w:r>
        <w:t>Métricas de desempeño</w:t>
      </w:r>
      <w:bookmarkEnd w:id="11"/>
    </w:p>
    <w:p w14:paraId="17DA613B" w14:textId="77777777" w:rsidR="00E11DF3" w:rsidRDefault="00000000">
      <w:pPr>
        <w:pBdr>
          <w:top w:val="nil"/>
          <w:left w:val="nil"/>
          <w:bottom w:val="nil"/>
          <w:right w:val="nil"/>
          <w:between w:val="nil"/>
        </w:pBdr>
        <w:ind w:firstLine="709"/>
      </w:pPr>
      <w:r>
        <w:t>Se considerarán las siguientes métricas de desempeño del modelo:</w:t>
      </w:r>
    </w:p>
    <w:p w14:paraId="2FD0D014" w14:textId="77777777" w:rsidR="00E11DF3" w:rsidRDefault="00000000">
      <w:pPr>
        <w:numPr>
          <w:ilvl w:val="0"/>
          <w:numId w:val="1"/>
        </w:numPr>
        <w:spacing w:line="276" w:lineRule="auto"/>
        <w:jc w:val="left"/>
        <w:rPr>
          <w:rFonts w:ascii="Arial" w:eastAsia="Arial" w:hAnsi="Arial" w:cs="Arial"/>
          <w:sz w:val="22"/>
          <w:szCs w:val="22"/>
        </w:rPr>
      </w:pPr>
      <w:r>
        <w:t>Error absoluto medio (MAE): Mide la diferencia promedio absoluta entre los valores pronosticados y los valores reales. Un MAE bajo indica mayor precisión.</w:t>
      </w:r>
    </w:p>
    <w:p w14:paraId="78CB5937" w14:textId="77777777" w:rsidR="00E11DF3" w:rsidRDefault="00000000">
      <w:pPr>
        <w:numPr>
          <w:ilvl w:val="0"/>
          <w:numId w:val="4"/>
        </w:numPr>
        <w:spacing w:line="276" w:lineRule="auto"/>
        <w:jc w:val="left"/>
        <w:rPr>
          <w:rFonts w:ascii="Arial" w:eastAsia="Arial" w:hAnsi="Arial" w:cs="Arial"/>
          <w:sz w:val="22"/>
          <w:szCs w:val="22"/>
        </w:rPr>
      </w:pPr>
      <w:r>
        <w:lastRenderedPageBreak/>
        <w:t>Error cuadrático medio (RMSE): Similar al MAE, pero considera los errores al cuadrado, penalizando más los errores grandes. Un RMSE bajo indica mayor precisión.</w:t>
      </w:r>
    </w:p>
    <w:p w14:paraId="2C2A9DE6" w14:textId="77777777" w:rsidR="00E11DF3" w:rsidRDefault="00000000">
      <w:pPr>
        <w:numPr>
          <w:ilvl w:val="0"/>
          <w:numId w:val="4"/>
        </w:numPr>
        <w:spacing w:line="276" w:lineRule="auto"/>
        <w:jc w:val="left"/>
        <w:rPr>
          <w:rFonts w:ascii="Arial" w:eastAsia="Arial" w:hAnsi="Arial" w:cs="Arial"/>
          <w:sz w:val="22"/>
          <w:szCs w:val="22"/>
        </w:rPr>
      </w:pPr>
      <w:r>
        <w:t xml:space="preserve">Error porcentual absoluto medio (MAPE): Expresa el error en términos porcentuales, siendo útil para comparar series de tiempo con diferentes escalas. Un MAPE bajo indica mayor precisión. </w:t>
      </w:r>
    </w:p>
    <w:p w14:paraId="79F85166" w14:textId="77777777" w:rsidR="00E11DF3" w:rsidRDefault="00E11DF3">
      <w:pPr>
        <w:spacing w:line="276" w:lineRule="auto"/>
        <w:ind w:left="720"/>
        <w:jc w:val="left"/>
      </w:pPr>
    </w:p>
    <w:p w14:paraId="4657B5E2" w14:textId="77777777" w:rsidR="00E11DF3" w:rsidRDefault="00000000">
      <w:pPr>
        <w:spacing w:line="276" w:lineRule="auto"/>
        <w:ind w:left="720"/>
        <w:jc w:val="left"/>
      </w:pPr>
      <w:r>
        <w:t>Como métrica del negocio se considerará el valor de la facturación mensual.</w:t>
      </w:r>
    </w:p>
    <w:p w14:paraId="2DE97472" w14:textId="77777777" w:rsidR="00E11DF3" w:rsidRDefault="00E11DF3">
      <w:pPr>
        <w:spacing w:after="160" w:line="259" w:lineRule="auto"/>
        <w:jc w:val="left"/>
        <w:rPr>
          <w:b/>
        </w:rPr>
      </w:pPr>
      <w:bookmarkStart w:id="12" w:name="_heading=h.1y810tw" w:colFirst="0" w:colLast="0"/>
      <w:bookmarkEnd w:id="12"/>
    </w:p>
    <w:p w14:paraId="70250EFB" w14:textId="77777777" w:rsidR="00E11DF3" w:rsidRDefault="00000000">
      <w:pPr>
        <w:pStyle w:val="Ttulo1"/>
        <w:numPr>
          <w:ilvl w:val="0"/>
          <w:numId w:val="2"/>
        </w:numPr>
      </w:pPr>
      <w:bookmarkStart w:id="13" w:name="_Toc167743141"/>
      <w:r>
        <w:t>Objetivos</w:t>
      </w:r>
      <w:bookmarkEnd w:id="13"/>
    </w:p>
    <w:p w14:paraId="58BC9DA8" w14:textId="77777777" w:rsidR="00E11DF3" w:rsidRDefault="00E11DF3">
      <w:pPr>
        <w:rPr>
          <w:b/>
        </w:rPr>
      </w:pPr>
    </w:p>
    <w:p w14:paraId="56F91437" w14:textId="77777777" w:rsidR="00E11DF3" w:rsidRDefault="00000000">
      <w:pPr>
        <w:pStyle w:val="Ttulo2"/>
        <w:numPr>
          <w:ilvl w:val="1"/>
          <w:numId w:val="2"/>
        </w:numPr>
      </w:pPr>
      <w:bookmarkStart w:id="14" w:name="_Toc167743142"/>
      <w:r>
        <w:t>Objetivo general</w:t>
      </w:r>
      <w:bookmarkEnd w:id="14"/>
    </w:p>
    <w:p w14:paraId="2C89682F" w14:textId="77777777" w:rsidR="00E11DF3" w:rsidRDefault="00E11DF3">
      <w:pPr>
        <w:ind w:firstLine="708"/>
      </w:pPr>
    </w:p>
    <w:p w14:paraId="2E6EA3A0" w14:textId="77777777" w:rsidR="00E11DF3" w:rsidRDefault="00000000">
      <w:pPr>
        <w:ind w:firstLine="708"/>
      </w:pPr>
      <w:bookmarkStart w:id="15" w:name="_heading=h.1ci93xb" w:colFirst="0" w:colLast="0"/>
      <w:bookmarkEnd w:id="15"/>
      <w:r>
        <w:t>Desarrollar un modelo utilizando técnicas estadísticas y de aprendizaje automático para pronosticar la generación de energía reactiva en una planta de productos lácteos, con datos del consumo energético en el periodo 2020 a 2024, que permita disminuir los costos asociados al consumo de energía en la planta.</w:t>
      </w:r>
    </w:p>
    <w:p w14:paraId="6587EEB7" w14:textId="77777777" w:rsidR="00E11DF3" w:rsidRDefault="00E11DF3">
      <w:pPr>
        <w:ind w:firstLine="708"/>
      </w:pPr>
    </w:p>
    <w:p w14:paraId="2ADDC829" w14:textId="77777777" w:rsidR="00E11DF3" w:rsidRDefault="00000000">
      <w:pPr>
        <w:pStyle w:val="Ttulo2"/>
        <w:numPr>
          <w:ilvl w:val="1"/>
          <w:numId w:val="2"/>
        </w:numPr>
        <w:rPr>
          <w:b w:val="0"/>
        </w:rPr>
      </w:pPr>
      <w:bookmarkStart w:id="16" w:name="_Toc167743143"/>
      <w:r>
        <w:t>Objetivos específicos</w:t>
      </w:r>
      <w:bookmarkEnd w:id="16"/>
    </w:p>
    <w:p w14:paraId="19549308" w14:textId="77777777" w:rsidR="00E11DF3" w:rsidRDefault="00000000">
      <w:pPr>
        <w:numPr>
          <w:ilvl w:val="0"/>
          <w:numId w:val="6"/>
        </w:numPr>
        <w:spacing w:line="276" w:lineRule="auto"/>
        <w:jc w:val="left"/>
      </w:pPr>
      <w:r>
        <w:t>Realizar los pasos contemplados en la metodología CRISP-DM para la creación de los modelos de analítica</w:t>
      </w:r>
    </w:p>
    <w:p w14:paraId="5C994DFB" w14:textId="77777777" w:rsidR="00E11DF3" w:rsidRDefault="00000000">
      <w:pPr>
        <w:numPr>
          <w:ilvl w:val="0"/>
          <w:numId w:val="6"/>
        </w:numPr>
        <w:spacing w:line="276" w:lineRule="auto"/>
        <w:jc w:val="left"/>
      </w:pPr>
      <w:r>
        <w:t>Evaluar la precisión de los modelos aplicados considerando errores inferiores al 30%</w:t>
      </w:r>
    </w:p>
    <w:p w14:paraId="0051793E" w14:textId="7173DC6E" w:rsidR="00E11DF3" w:rsidRDefault="00000000">
      <w:pPr>
        <w:numPr>
          <w:ilvl w:val="0"/>
          <w:numId w:val="6"/>
        </w:numPr>
        <w:spacing w:after="240" w:line="276" w:lineRule="auto"/>
        <w:jc w:val="left"/>
      </w:pPr>
      <w:r>
        <w:t>Establecer, mediante el uso del modelo, los días del mes que hacen que la generación de energía reactiva sobrepase los 12 días permitidos.</w:t>
      </w:r>
    </w:p>
    <w:p w14:paraId="50A4F7F2" w14:textId="77777777" w:rsidR="00E11DF3" w:rsidRDefault="00E11DF3">
      <w:pPr>
        <w:pBdr>
          <w:top w:val="nil"/>
          <w:left w:val="nil"/>
          <w:bottom w:val="nil"/>
          <w:right w:val="nil"/>
          <w:between w:val="nil"/>
        </w:pBdr>
        <w:ind w:left="720"/>
        <w:rPr>
          <w:color w:val="000000"/>
        </w:rPr>
      </w:pPr>
    </w:p>
    <w:p w14:paraId="63C8D023" w14:textId="77777777" w:rsidR="00E11DF3" w:rsidRDefault="00E11DF3">
      <w:pPr>
        <w:jc w:val="center"/>
        <w:rPr>
          <w:b/>
        </w:rPr>
      </w:pPr>
    </w:p>
    <w:p w14:paraId="29E5B30C" w14:textId="04DC4AA5" w:rsidR="007652E4" w:rsidRDefault="007652E4">
      <w:pPr>
        <w:rPr>
          <w:b/>
        </w:rPr>
      </w:pPr>
      <w:r>
        <w:rPr>
          <w:b/>
        </w:rPr>
        <w:br w:type="page"/>
      </w:r>
    </w:p>
    <w:p w14:paraId="122857F6" w14:textId="77777777" w:rsidR="00E11DF3" w:rsidRDefault="00E11DF3">
      <w:pPr>
        <w:spacing w:after="160" w:line="259" w:lineRule="auto"/>
        <w:jc w:val="left"/>
        <w:rPr>
          <w:b/>
        </w:rPr>
      </w:pPr>
    </w:p>
    <w:p w14:paraId="6C128F26" w14:textId="77777777" w:rsidR="00E11DF3" w:rsidRDefault="00000000">
      <w:pPr>
        <w:pStyle w:val="Ttulo1"/>
        <w:numPr>
          <w:ilvl w:val="0"/>
          <w:numId w:val="2"/>
        </w:numPr>
      </w:pPr>
      <w:bookmarkStart w:id="17" w:name="_Toc167743144"/>
      <w:r>
        <w:t>Datos</w:t>
      </w:r>
      <w:bookmarkEnd w:id="17"/>
    </w:p>
    <w:p w14:paraId="1F0AA310" w14:textId="77777777" w:rsidR="00E11DF3" w:rsidRDefault="00E11DF3"/>
    <w:p w14:paraId="761E52D5" w14:textId="77777777" w:rsidR="00E11DF3" w:rsidRDefault="00000000">
      <w:pPr>
        <w:pStyle w:val="Ttulo2"/>
        <w:numPr>
          <w:ilvl w:val="1"/>
          <w:numId w:val="2"/>
        </w:numPr>
      </w:pPr>
      <w:r>
        <w:t xml:space="preserve"> </w:t>
      </w:r>
      <w:bookmarkStart w:id="18" w:name="_Toc167743145"/>
      <w:r>
        <w:t>Datos originales</w:t>
      </w:r>
      <w:bookmarkEnd w:id="18"/>
    </w:p>
    <w:p w14:paraId="045CB429" w14:textId="77777777" w:rsidR="00E11DF3" w:rsidRDefault="00000000">
      <w:pPr>
        <w:pBdr>
          <w:top w:val="nil"/>
          <w:left w:val="nil"/>
          <w:bottom w:val="nil"/>
          <w:right w:val="nil"/>
          <w:between w:val="nil"/>
        </w:pBdr>
        <w:ind w:firstLine="709"/>
      </w:pPr>
      <w:r>
        <w:t>Se dispone de dos fuentes de datos.</w:t>
      </w:r>
    </w:p>
    <w:p w14:paraId="73784941" w14:textId="77777777" w:rsidR="00E11DF3" w:rsidRDefault="00000000">
      <w:pPr>
        <w:shd w:val="clear" w:color="auto" w:fill="FFFFFF"/>
        <w:spacing w:after="240"/>
        <w:jc w:val="left"/>
      </w:pPr>
      <w:r>
        <w:t>Fuente de datos 1: se cuenta con la información para 1404 días del consumo energía activa y reactiva para el periodo comprendido entre febrero de 2020 y mayo de 2024. Estos datos son proporcionados directamente por la empresa prestadora de servicios de energía eléctrica y son un instrumento para el control del pago de la facturación mensual. Se cuenta con un archivo en excel por año. Cada archivo contiene cinco variables de las cuales se tiene información para cada hora, así:</w:t>
      </w:r>
    </w:p>
    <w:p w14:paraId="689F43F0" w14:textId="77777777" w:rsidR="00E11DF3" w:rsidRDefault="00000000">
      <w:pPr>
        <w:numPr>
          <w:ilvl w:val="1"/>
          <w:numId w:val="5"/>
        </w:numPr>
        <w:jc w:val="left"/>
      </w:pPr>
      <w:r>
        <w:t>Energía Activa Consumo (kWh)</w:t>
      </w:r>
    </w:p>
    <w:p w14:paraId="40FE3BCF" w14:textId="77777777" w:rsidR="00E11DF3" w:rsidRDefault="00000000">
      <w:pPr>
        <w:numPr>
          <w:ilvl w:val="1"/>
          <w:numId w:val="5"/>
        </w:numPr>
        <w:jc w:val="left"/>
      </w:pPr>
      <w:r>
        <w:t>Energía Activa Generación (kWh)</w:t>
      </w:r>
    </w:p>
    <w:p w14:paraId="74494412" w14:textId="77777777" w:rsidR="00E11DF3" w:rsidRDefault="00000000">
      <w:pPr>
        <w:numPr>
          <w:ilvl w:val="1"/>
          <w:numId w:val="5"/>
        </w:numPr>
        <w:jc w:val="left"/>
      </w:pPr>
      <w:r>
        <w:t>Energía Reactiva Inductiva (kVarh)</w:t>
      </w:r>
    </w:p>
    <w:p w14:paraId="39C55881" w14:textId="77777777" w:rsidR="00E11DF3" w:rsidRDefault="00000000">
      <w:pPr>
        <w:numPr>
          <w:ilvl w:val="1"/>
          <w:numId w:val="5"/>
        </w:numPr>
        <w:jc w:val="left"/>
      </w:pPr>
      <w:r>
        <w:t>Energía Reactiva Capacitiva (kVarh)</w:t>
      </w:r>
    </w:p>
    <w:p w14:paraId="62E13157" w14:textId="77777777" w:rsidR="00E11DF3" w:rsidRDefault="00000000">
      <w:pPr>
        <w:numPr>
          <w:ilvl w:val="1"/>
          <w:numId w:val="5"/>
        </w:numPr>
        <w:spacing w:after="240"/>
        <w:jc w:val="left"/>
      </w:pPr>
      <w:r>
        <w:t>Fecha</w:t>
      </w:r>
    </w:p>
    <w:p w14:paraId="742EC6B2" w14:textId="76E3CC82" w:rsidR="00E11DF3" w:rsidRDefault="00000000">
      <w:pPr>
        <w:shd w:val="clear" w:color="auto" w:fill="FFFFFF"/>
        <w:spacing w:after="240"/>
      </w:pPr>
      <w:r>
        <w:t>Fuente de datos 2: Mediciones de los sensores de equipos de la empresa productora de lácteos. Los datos de los sensores están alojados en DynamoDB con una actualización segundo a segundo. Los sensores toman los datos de ciertas métricas asociadas al estado de los equipos para el seguimiento en la producción, los cuales son almacenados en la nube a través del servicio de AWS. Actualmente el acceso a las bases de datos se encuentra limitad</w:t>
      </w:r>
      <w:r w:rsidR="00C52105">
        <w:t>o</w:t>
      </w:r>
      <w:r>
        <w:t xml:space="preserve"> por parte de la oficina de TI. Una vez se restablezca el servicio, se procederá a realizar el análisis correspondiente de los datos disponibles. Se está a la espera de la entrega del diccionario de datos generados por los sensores por parte del equipo de TI. Las variables que contempla esta fuente de datos se relacionan en la tabla 1 y su análisis se realizará para una entrega posterior.</w:t>
      </w:r>
    </w:p>
    <w:p w14:paraId="0FB56231" w14:textId="77777777" w:rsidR="007652E4" w:rsidRDefault="007652E4" w:rsidP="007652E4">
      <w:pPr>
        <w:spacing w:line="276" w:lineRule="auto"/>
      </w:pPr>
    </w:p>
    <w:p w14:paraId="49A290FF" w14:textId="77777777" w:rsidR="007652E4" w:rsidRDefault="007652E4" w:rsidP="007652E4">
      <w:pPr>
        <w:spacing w:line="276" w:lineRule="auto"/>
      </w:pPr>
    </w:p>
    <w:p w14:paraId="56E4EFA5" w14:textId="77777777" w:rsidR="007652E4" w:rsidRDefault="007652E4" w:rsidP="007652E4">
      <w:pPr>
        <w:spacing w:line="276" w:lineRule="auto"/>
      </w:pPr>
    </w:p>
    <w:p w14:paraId="1D203DF3" w14:textId="77777777" w:rsidR="007652E4" w:rsidRDefault="007652E4" w:rsidP="007652E4">
      <w:pPr>
        <w:spacing w:line="276" w:lineRule="auto"/>
      </w:pPr>
    </w:p>
    <w:p w14:paraId="751566DE" w14:textId="77777777" w:rsidR="007652E4" w:rsidRDefault="007652E4" w:rsidP="007652E4">
      <w:pPr>
        <w:spacing w:line="276" w:lineRule="auto"/>
      </w:pPr>
    </w:p>
    <w:p w14:paraId="2CA54D27" w14:textId="77777777" w:rsidR="007652E4" w:rsidRDefault="007652E4" w:rsidP="007652E4">
      <w:pPr>
        <w:spacing w:line="276" w:lineRule="auto"/>
      </w:pPr>
    </w:p>
    <w:p w14:paraId="3E068A04" w14:textId="77777777" w:rsidR="007652E4" w:rsidRDefault="007652E4" w:rsidP="007652E4">
      <w:pPr>
        <w:spacing w:line="276" w:lineRule="auto"/>
      </w:pPr>
    </w:p>
    <w:p w14:paraId="6B590CAF" w14:textId="77777777" w:rsidR="007652E4" w:rsidRDefault="007652E4" w:rsidP="007652E4">
      <w:pPr>
        <w:spacing w:line="276" w:lineRule="auto"/>
      </w:pPr>
    </w:p>
    <w:p w14:paraId="41A49349" w14:textId="77777777" w:rsidR="007652E4" w:rsidRDefault="007652E4" w:rsidP="007652E4">
      <w:pPr>
        <w:spacing w:line="276" w:lineRule="auto"/>
      </w:pPr>
    </w:p>
    <w:p w14:paraId="30C19BE2" w14:textId="77777777" w:rsidR="007652E4" w:rsidRDefault="007652E4" w:rsidP="007652E4">
      <w:pPr>
        <w:spacing w:line="276" w:lineRule="auto"/>
      </w:pPr>
    </w:p>
    <w:p w14:paraId="7C95608D" w14:textId="5E7706C3" w:rsidR="007652E4" w:rsidRDefault="007652E4" w:rsidP="007652E4">
      <w:pPr>
        <w:spacing w:line="276" w:lineRule="auto"/>
      </w:pPr>
      <w:bookmarkStart w:id="19" w:name="_Toc167742374"/>
      <w:r>
        <w:t xml:space="preserve">Tabla </w:t>
      </w:r>
      <w:r>
        <w:fldChar w:fldCharType="begin"/>
      </w:r>
      <w:r>
        <w:instrText xml:space="preserve"> SEQ Tabla \* ARABIC </w:instrText>
      </w:r>
      <w:r>
        <w:fldChar w:fldCharType="separate"/>
      </w:r>
      <w:r>
        <w:rPr>
          <w:noProof/>
        </w:rPr>
        <w:t>1</w:t>
      </w:r>
      <w:r>
        <w:fldChar w:fldCharType="end"/>
      </w:r>
      <w:r>
        <w:t xml:space="preserve">. </w:t>
      </w:r>
      <w:r w:rsidRPr="009830A5">
        <w:t>Variables disponibles en la tabla iot_power_meters</w:t>
      </w:r>
      <w:bookmarkEnd w:id="19"/>
    </w:p>
    <w:p w14:paraId="558019FC" w14:textId="549F9FA6" w:rsidR="00E11DF3" w:rsidRDefault="00000000">
      <w:pPr>
        <w:spacing w:after="120" w:line="240" w:lineRule="auto"/>
        <w:jc w:val="left"/>
      </w:pPr>
      <w:r>
        <w:rPr>
          <w:noProof/>
        </w:rPr>
        <w:drawing>
          <wp:inline distT="114300" distB="114300" distL="114300" distR="114300" wp14:anchorId="7B7BEC91" wp14:editId="5C2F7C46">
            <wp:extent cx="3524250" cy="3892967"/>
            <wp:effectExtent l="0" t="0" r="0" b="0"/>
            <wp:docPr id="3970416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24250" cy="3892967"/>
                    </a:xfrm>
                    <a:prstGeom prst="rect">
                      <a:avLst/>
                    </a:prstGeom>
                    <a:ln/>
                  </pic:spPr>
                </pic:pic>
              </a:graphicData>
            </a:graphic>
          </wp:inline>
        </w:drawing>
      </w:r>
    </w:p>
    <w:p w14:paraId="2E71A9EC" w14:textId="77777777" w:rsidR="00E11DF3" w:rsidRDefault="00E11DF3"/>
    <w:p w14:paraId="59908040" w14:textId="77777777" w:rsidR="00E11DF3" w:rsidRDefault="00000000">
      <w:pPr>
        <w:pStyle w:val="Ttulo2"/>
        <w:numPr>
          <w:ilvl w:val="1"/>
          <w:numId w:val="2"/>
        </w:numPr>
      </w:pPr>
      <w:r>
        <w:t xml:space="preserve"> </w:t>
      </w:r>
      <w:bookmarkStart w:id="20" w:name="_Toc167743146"/>
      <w:r>
        <w:t>Datasets</w:t>
      </w:r>
      <w:bookmarkEnd w:id="20"/>
    </w:p>
    <w:p w14:paraId="1794F5F6" w14:textId="1D6B08E0" w:rsidR="00E11DF3" w:rsidRDefault="00000000">
      <w:pPr>
        <w:pBdr>
          <w:top w:val="nil"/>
          <w:left w:val="nil"/>
          <w:bottom w:val="nil"/>
          <w:right w:val="nil"/>
          <w:between w:val="nil"/>
        </w:pBdr>
        <w:ind w:firstLine="709"/>
      </w:pPr>
      <w:r>
        <w:t xml:space="preserve">El análisis se realiza para el dataset de la fuente de datos 1. Debido a que los archivos de cada año se encuentran en </w:t>
      </w:r>
      <w:r w:rsidR="00C52105">
        <w:t>Excel</w:t>
      </w:r>
      <w:r>
        <w:t>, es necesario extraer la información de cada uno de ellos para consolidar una tabla global que consolide la información de todos los años. Se hace necesario identificar las celdas que contienen información y eliminar columnas con valores nulos. Con la información de las tablas se hace necesario consolidar para cada variable la información disponible en horas y sumar los valores correspondientes para tener la información completa por día. La estructura de los datos originales se muestra en la tabla 2.</w:t>
      </w:r>
    </w:p>
    <w:p w14:paraId="48ACA89F" w14:textId="77777777" w:rsidR="00E11DF3" w:rsidRDefault="00E11DF3">
      <w:pPr>
        <w:pBdr>
          <w:top w:val="nil"/>
          <w:left w:val="nil"/>
          <w:bottom w:val="nil"/>
          <w:right w:val="nil"/>
          <w:between w:val="nil"/>
        </w:pBdr>
        <w:ind w:firstLine="709"/>
      </w:pPr>
    </w:p>
    <w:p w14:paraId="284783DB" w14:textId="5223C9D6" w:rsidR="007652E4" w:rsidRDefault="007652E4" w:rsidP="007652E4">
      <w:pPr>
        <w:pStyle w:val="Descripcin"/>
        <w:keepNext/>
        <w:jc w:val="center"/>
      </w:pPr>
      <w:bookmarkStart w:id="21" w:name="_Toc167742375"/>
      <w:r>
        <w:lastRenderedPageBreak/>
        <w:t xml:space="preserve">Tabla </w:t>
      </w:r>
      <w:r>
        <w:fldChar w:fldCharType="begin"/>
      </w:r>
      <w:r>
        <w:instrText xml:space="preserve"> SEQ Tabla \* ARABIC </w:instrText>
      </w:r>
      <w:r>
        <w:fldChar w:fldCharType="separate"/>
      </w:r>
      <w:r>
        <w:rPr>
          <w:noProof/>
        </w:rPr>
        <w:t>2</w:t>
      </w:r>
      <w:r>
        <w:fldChar w:fldCharType="end"/>
      </w:r>
      <w:r>
        <w:t xml:space="preserve">. </w:t>
      </w:r>
      <w:r w:rsidRPr="009A7F3C">
        <w:t>Tabla original de valores de consumo de energía</w:t>
      </w:r>
      <w:bookmarkEnd w:id="21"/>
    </w:p>
    <w:p w14:paraId="48C5463B" w14:textId="77777777" w:rsidR="00E11DF3" w:rsidRDefault="00000000">
      <w:pPr>
        <w:ind w:firstLine="709"/>
        <w:jc w:val="center"/>
      </w:pPr>
      <w:r>
        <w:rPr>
          <w:noProof/>
        </w:rPr>
        <w:drawing>
          <wp:inline distT="114300" distB="114300" distL="114300" distR="114300" wp14:anchorId="24BF5E2D" wp14:editId="5C8CA888">
            <wp:extent cx="5346545" cy="3078314"/>
            <wp:effectExtent l="0" t="0" r="0" b="0"/>
            <wp:docPr id="3970416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46545" cy="3078314"/>
                    </a:xfrm>
                    <a:prstGeom prst="rect">
                      <a:avLst/>
                    </a:prstGeom>
                    <a:ln/>
                  </pic:spPr>
                </pic:pic>
              </a:graphicData>
            </a:graphic>
          </wp:inline>
        </w:drawing>
      </w:r>
    </w:p>
    <w:p w14:paraId="53241276" w14:textId="77777777" w:rsidR="00E11DF3" w:rsidRDefault="00E11DF3">
      <w:pPr>
        <w:jc w:val="left"/>
        <w:rPr>
          <w:b/>
        </w:rPr>
      </w:pPr>
    </w:p>
    <w:p w14:paraId="29E50838" w14:textId="77777777" w:rsidR="00E11DF3" w:rsidRDefault="00000000">
      <w:pPr>
        <w:ind w:firstLine="709"/>
        <w:jc w:val="left"/>
      </w:pPr>
      <w:r>
        <w:t>Una vez realizada la limpieza de datos se obtiene un dataset consolidado por días para los valores de la energía. El resultado se observa en la tabla 3.</w:t>
      </w:r>
    </w:p>
    <w:p w14:paraId="52790D88" w14:textId="77777777" w:rsidR="00E11DF3" w:rsidRDefault="00E11DF3">
      <w:pPr>
        <w:ind w:firstLine="709"/>
        <w:jc w:val="left"/>
      </w:pPr>
    </w:p>
    <w:p w14:paraId="0DA62D8A" w14:textId="0C80CB3C" w:rsidR="007652E4" w:rsidRDefault="007652E4" w:rsidP="007652E4">
      <w:pPr>
        <w:pStyle w:val="Descripcin"/>
        <w:keepNext/>
        <w:jc w:val="center"/>
      </w:pPr>
      <w:bookmarkStart w:id="22" w:name="_Toc167742376"/>
      <w:r>
        <w:t xml:space="preserve">Tabla </w:t>
      </w:r>
      <w:r>
        <w:fldChar w:fldCharType="begin"/>
      </w:r>
      <w:r>
        <w:instrText xml:space="preserve"> SEQ Tabla \* ARABIC </w:instrText>
      </w:r>
      <w:r>
        <w:fldChar w:fldCharType="separate"/>
      </w:r>
      <w:r>
        <w:rPr>
          <w:noProof/>
        </w:rPr>
        <w:t>3</w:t>
      </w:r>
      <w:r>
        <w:fldChar w:fldCharType="end"/>
      </w:r>
      <w:r>
        <w:t xml:space="preserve">. </w:t>
      </w:r>
      <w:r w:rsidRPr="004562EF">
        <w:t>Tabla depurada de valores de consumo de energía</w:t>
      </w:r>
      <w:bookmarkEnd w:id="22"/>
    </w:p>
    <w:p w14:paraId="37B724C0" w14:textId="77777777" w:rsidR="00E11DF3" w:rsidRDefault="00000000">
      <w:pPr>
        <w:tabs>
          <w:tab w:val="center" w:pos="4419"/>
          <w:tab w:val="right" w:pos="8838"/>
        </w:tabs>
        <w:spacing w:line="240" w:lineRule="auto"/>
        <w:jc w:val="center"/>
        <w:rPr>
          <w:b/>
        </w:rPr>
      </w:pPr>
      <w:r>
        <w:rPr>
          <w:b/>
          <w:noProof/>
        </w:rPr>
        <w:drawing>
          <wp:inline distT="114300" distB="114300" distL="114300" distR="114300" wp14:anchorId="1B2A4E7D" wp14:editId="4111C629">
            <wp:extent cx="5107538" cy="3426460"/>
            <wp:effectExtent l="0" t="0" r="0" b="0"/>
            <wp:docPr id="3970416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107538" cy="3426460"/>
                    </a:xfrm>
                    <a:prstGeom prst="rect">
                      <a:avLst/>
                    </a:prstGeom>
                    <a:ln/>
                  </pic:spPr>
                </pic:pic>
              </a:graphicData>
            </a:graphic>
          </wp:inline>
        </w:drawing>
      </w:r>
    </w:p>
    <w:p w14:paraId="08099FD0" w14:textId="77777777" w:rsidR="00E11DF3" w:rsidRDefault="00E11DF3">
      <w:pPr>
        <w:ind w:firstLine="709"/>
        <w:jc w:val="center"/>
        <w:rPr>
          <w:b/>
        </w:rPr>
      </w:pPr>
    </w:p>
    <w:p w14:paraId="74449BAB" w14:textId="77777777" w:rsidR="00E11DF3" w:rsidRDefault="00E11DF3">
      <w:pPr>
        <w:pBdr>
          <w:top w:val="nil"/>
          <w:left w:val="nil"/>
          <w:bottom w:val="nil"/>
          <w:right w:val="nil"/>
          <w:between w:val="nil"/>
        </w:pBdr>
        <w:ind w:firstLine="709"/>
        <w:rPr>
          <w:color w:val="000000"/>
        </w:rPr>
      </w:pPr>
    </w:p>
    <w:p w14:paraId="0714D64D" w14:textId="77777777" w:rsidR="00E11DF3" w:rsidRDefault="00000000">
      <w:pPr>
        <w:pStyle w:val="Ttulo2"/>
        <w:numPr>
          <w:ilvl w:val="1"/>
          <w:numId w:val="2"/>
        </w:numPr>
      </w:pPr>
      <w:r>
        <w:t xml:space="preserve"> </w:t>
      </w:r>
      <w:bookmarkStart w:id="23" w:name="_Toc167743147"/>
      <w:r>
        <w:t>Analítica descriptiva</w:t>
      </w:r>
      <w:bookmarkEnd w:id="23"/>
    </w:p>
    <w:p w14:paraId="456E0018" w14:textId="77777777" w:rsidR="00E11DF3" w:rsidRDefault="00000000">
      <w:pPr>
        <w:pBdr>
          <w:top w:val="nil"/>
          <w:left w:val="nil"/>
          <w:bottom w:val="nil"/>
          <w:right w:val="nil"/>
          <w:between w:val="nil"/>
        </w:pBdr>
        <w:ind w:firstLine="709"/>
      </w:pPr>
      <w:r>
        <w:t>Como se observa en la figura 1, se identifica una posible relación directa entre las variables activa_consumo y reactiva_inductiva. Lo anterior se valida con el análisis de correlación de la figura 2.</w:t>
      </w:r>
    </w:p>
    <w:p w14:paraId="2806746F" w14:textId="77777777" w:rsidR="00E11DF3" w:rsidRDefault="00E11DF3">
      <w:pPr>
        <w:pBdr>
          <w:top w:val="nil"/>
          <w:left w:val="nil"/>
          <w:bottom w:val="nil"/>
          <w:right w:val="nil"/>
          <w:between w:val="nil"/>
        </w:pBdr>
        <w:ind w:firstLine="709"/>
      </w:pPr>
    </w:p>
    <w:p w14:paraId="1AAD8664" w14:textId="77777777" w:rsidR="00E11DF3" w:rsidRDefault="00000000">
      <w:pPr>
        <w:pBdr>
          <w:top w:val="nil"/>
          <w:left w:val="nil"/>
          <w:bottom w:val="nil"/>
          <w:right w:val="nil"/>
          <w:between w:val="nil"/>
        </w:pBdr>
        <w:ind w:firstLine="709"/>
        <w:rPr>
          <w:color w:val="000000"/>
        </w:rPr>
      </w:pPr>
      <w:r>
        <w:t>Al realizar el análisis de correlación por medio del coeficiente de Pearson en la figura 2, se valida lo identificado gráficamente pues se obtuvo, para las variables activa_consumo y reactiva_inductiva, un coeficiente de correlación de 0.81, el cual se considera significativamente alto. Esto nos lleva a analizar la posibilidad de eliminar alguna de las dos variables. Sin embargo se hace necesario contrastarlo con el personal técnico de la empresa para conocer detalles de los expertos antes de tomar la decisión.</w:t>
      </w:r>
    </w:p>
    <w:p w14:paraId="0E09696C" w14:textId="77777777" w:rsidR="00E11DF3" w:rsidRDefault="00E11DF3">
      <w:pPr>
        <w:pBdr>
          <w:top w:val="nil"/>
          <w:left w:val="nil"/>
          <w:bottom w:val="nil"/>
          <w:right w:val="nil"/>
          <w:between w:val="nil"/>
        </w:pBdr>
        <w:ind w:firstLine="709"/>
      </w:pPr>
    </w:p>
    <w:p w14:paraId="3D6C971C" w14:textId="18ECF7BE" w:rsidR="007652E4" w:rsidRDefault="007652E4" w:rsidP="007652E4">
      <w:pPr>
        <w:pStyle w:val="Descripcin"/>
        <w:keepNext/>
        <w:jc w:val="center"/>
      </w:pPr>
      <w:bookmarkStart w:id="24" w:name="_Toc167742531"/>
      <w:r>
        <w:lastRenderedPageBreak/>
        <w:t xml:space="preserve">Figura </w:t>
      </w:r>
      <w:r>
        <w:fldChar w:fldCharType="begin"/>
      </w:r>
      <w:r>
        <w:instrText xml:space="preserve"> SEQ Figura \* ARABIC </w:instrText>
      </w:r>
      <w:r>
        <w:fldChar w:fldCharType="separate"/>
      </w:r>
      <w:r>
        <w:rPr>
          <w:noProof/>
        </w:rPr>
        <w:t>1</w:t>
      </w:r>
      <w:r>
        <w:fldChar w:fldCharType="end"/>
      </w:r>
      <w:r>
        <w:rPr>
          <w:noProof/>
        </w:rPr>
        <w:t xml:space="preserve">. </w:t>
      </w:r>
      <w:r w:rsidRPr="003A3E61">
        <w:rPr>
          <w:noProof/>
        </w:rPr>
        <w:t>Correlación gráfica de variables de consumo de energía</w:t>
      </w:r>
      <w:bookmarkEnd w:id="24"/>
    </w:p>
    <w:p w14:paraId="0CC466AC" w14:textId="77777777" w:rsidR="00E11DF3" w:rsidRDefault="00000000">
      <w:pPr>
        <w:pBdr>
          <w:top w:val="nil"/>
          <w:left w:val="nil"/>
          <w:bottom w:val="nil"/>
          <w:right w:val="nil"/>
          <w:between w:val="nil"/>
        </w:pBdr>
        <w:ind w:firstLine="709"/>
        <w:jc w:val="center"/>
      </w:pPr>
      <w:r>
        <w:rPr>
          <w:noProof/>
        </w:rPr>
        <w:drawing>
          <wp:inline distT="114300" distB="114300" distL="114300" distR="114300" wp14:anchorId="61EBE7F0" wp14:editId="322DC23F">
            <wp:extent cx="5626665" cy="5636074"/>
            <wp:effectExtent l="0" t="0" r="0" b="0"/>
            <wp:docPr id="3970416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26665" cy="5636074"/>
                    </a:xfrm>
                    <a:prstGeom prst="rect">
                      <a:avLst/>
                    </a:prstGeom>
                    <a:ln/>
                  </pic:spPr>
                </pic:pic>
              </a:graphicData>
            </a:graphic>
          </wp:inline>
        </w:drawing>
      </w:r>
    </w:p>
    <w:p w14:paraId="65A3900D" w14:textId="77777777" w:rsidR="00E11DF3" w:rsidRDefault="00E11DF3">
      <w:pPr>
        <w:pBdr>
          <w:top w:val="nil"/>
          <w:left w:val="nil"/>
          <w:bottom w:val="nil"/>
          <w:right w:val="nil"/>
          <w:between w:val="nil"/>
        </w:pBdr>
        <w:ind w:firstLine="709"/>
        <w:jc w:val="center"/>
      </w:pPr>
    </w:p>
    <w:p w14:paraId="67821710" w14:textId="56C7E18B" w:rsidR="007652E4" w:rsidRDefault="007652E4" w:rsidP="007652E4">
      <w:pPr>
        <w:pStyle w:val="Descripcin"/>
        <w:keepNext/>
        <w:jc w:val="center"/>
      </w:pPr>
      <w:bookmarkStart w:id="25" w:name="_Toc167742532"/>
      <w:r>
        <w:lastRenderedPageBreak/>
        <w:t xml:space="preserve">Figura </w:t>
      </w:r>
      <w:r>
        <w:fldChar w:fldCharType="begin"/>
      </w:r>
      <w:r>
        <w:instrText xml:space="preserve"> SEQ Figura \* ARABIC </w:instrText>
      </w:r>
      <w:r>
        <w:fldChar w:fldCharType="separate"/>
      </w:r>
      <w:r>
        <w:rPr>
          <w:noProof/>
        </w:rPr>
        <w:t>2</w:t>
      </w:r>
      <w:r>
        <w:fldChar w:fldCharType="end"/>
      </w:r>
      <w:r>
        <w:t xml:space="preserve">. </w:t>
      </w:r>
      <w:r w:rsidRPr="00EB0C7A">
        <w:t>Correlación de variables de consumo de energía utilizando coeficiente de Pearson</w:t>
      </w:r>
      <w:bookmarkEnd w:id="25"/>
    </w:p>
    <w:p w14:paraId="108AE94F" w14:textId="77777777" w:rsidR="00E11DF3" w:rsidRDefault="00000000">
      <w:pPr>
        <w:ind w:firstLine="709"/>
        <w:jc w:val="center"/>
      </w:pPr>
      <w:r>
        <w:rPr>
          <w:noProof/>
        </w:rPr>
        <w:drawing>
          <wp:inline distT="114300" distB="114300" distL="114300" distR="114300" wp14:anchorId="2081BF7C" wp14:editId="2C9BAE4C">
            <wp:extent cx="4433342" cy="4978571"/>
            <wp:effectExtent l="0" t="0" r="0" b="0"/>
            <wp:docPr id="3970416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433342" cy="4978571"/>
                    </a:xfrm>
                    <a:prstGeom prst="rect">
                      <a:avLst/>
                    </a:prstGeom>
                    <a:ln/>
                  </pic:spPr>
                </pic:pic>
              </a:graphicData>
            </a:graphic>
          </wp:inline>
        </w:drawing>
      </w:r>
    </w:p>
    <w:p w14:paraId="3C252463" w14:textId="77777777" w:rsidR="00E11DF3" w:rsidRDefault="00E11DF3">
      <w:pPr>
        <w:pBdr>
          <w:top w:val="nil"/>
          <w:left w:val="nil"/>
          <w:bottom w:val="nil"/>
          <w:right w:val="nil"/>
          <w:between w:val="nil"/>
        </w:pBdr>
        <w:ind w:firstLine="709"/>
        <w:jc w:val="center"/>
      </w:pPr>
    </w:p>
    <w:p w14:paraId="77F1B5A4" w14:textId="77777777" w:rsidR="00E11DF3" w:rsidRDefault="00000000">
      <w:pPr>
        <w:pBdr>
          <w:top w:val="nil"/>
          <w:left w:val="nil"/>
          <w:bottom w:val="nil"/>
          <w:right w:val="nil"/>
          <w:between w:val="nil"/>
        </w:pBdr>
        <w:ind w:firstLine="709"/>
        <w:jc w:val="left"/>
      </w:pPr>
      <w:r>
        <w:t>De acuerdo con la información disponible en la figura 3, se observa para cada una de las variables, lo siguiente:</w:t>
      </w:r>
    </w:p>
    <w:p w14:paraId="0ED23FF4" w14:textId="77777777" w:rsidR="00E11DF3" w:rsidRDefault="00000000">
      <w:pPr>
        <w:pBdr>
          <w:top w:val="nil"/>
          <w:left w:val="nil"/>
          <w:bottom w:val="nil"/>
          <w:right w:val="nil"/>
          <w:between w:val="nil"/>
        </w:pBdr>
        <w:ind w:firstLine="709"/>
        <w:jc w:val="left"/>
      </w:pPr>
      <w:r>
        <w:t>activa_consumo: se observa una posible distribución normal de los datos con media en 17.500. Se identifica la existencia de algunos datos por fuera de los percentiles 25 y 75.</w:t>
      </w:r>
    </w:p>
    <w:p w14:paraId="32EC325B" w14:textId="77777777" w:rsidR="00E11DF3" w:rsidRDefault="00000000">
      <w:pPr>
        <w:ind w:firstLine="709"/>
        <w:jc w:val="left"/>
      </w:pPr>
      <w:r>
        <w:t>activa_generación: se observa una clara concentración de los datos alrededor de cero con presencia de posibles datos atípicos muy alejados de este valor.</w:t>
      </w:r>
    </w:p>
    <w:p w14:paraId="2A54A82C" w14:textId="77777777" w:rsidR="00E11DF3" w:rsidRDefault="00000000">
      <w:pPr>
        <w:ind w:firstLine="709"/>
        <w:jc w:val="left"/>
      </w:pPr>
      <w:r>
        <w:t>reactiva_capacitiva: se observa una clara concentración de los datos alrededor de cero. Se identifican 2 posibles valores atípicos en valores de 1.2 y 1.4.</w:t>
      </w:r>
    </w:p>
    <w:p w14:paraId="0CC47508" w14:textId="77777777" w:rsidR="00E11DF3" w:rsidRDefault="00000000">
      <w:pPr>
        <w:ind w:firstLine="709"/>
        <w:jc w:val="left"/>
      </w:pPr>
      <w:r>
        <w:lastRenderedPageBreak/>
        <w:t>reactiva_inductiva: se observa que los datos posiblemente no provengan de una distribución normal, por la presencia de una cola a la izquierda. Se identifican posibles datos atípicos alejados del percentil 25.</w:t>
      </w:r>
    </w:p>
    <w:p w14:paraId="67CA6D99" w14:textId="77777777" w:rsidR="00E11DF3" w:rsidRDefault="00E11DF3">
      <w:pPr>
        <w:ind w:firstLine="709"/>
        <w:jc w:val="left"/>
      </w:pPr>
    </w:p>
    <w:p w14:paraId="5BDB818A" w14:textId="77777777" w:rsidR="00E11DF3" w:rsidRDefault="00000000">
      <w:pPr>
        <w:ind w:firstLine="709"/>
        <w:jc w:val="left"/>
      </w:pPr>
      <w:r>
        <w:t xml:space="preserve"> </w:t>
      </w:r>
    </w:p>
    <w:p w14:paraId="3D198E90" w14:textId="6F47BE9A" w:rsidR="007652E4" w:rsidRDefault="007652E4" w:rsidP="007652E4">
      <w:pPr>
        <w:pStyle w:val="Descripcin"/>
        <w:keepNext/>
        <w:jc w:val="center"/>
      </w:pPr>
      <w:bookmarkStart w:id="26" w:name="_Toc167742533"/>
      <w:r>
        <w:t xml:space="preserve">Figura </w:t>
      </w:r>
      <w:r>
        <w:fldChar w:fldCharType="begin"/>
      </w:r>
      <w:r>
        <w:instrText xml:space="preserve"> SEQ Figura \* ARABIC </w:instrText>
      </w:r>
      <w:r>
        <w:fldChar w:fldCharType="separate"/>
      </w:r>
      <w:r>
        <w:rPr>
          <w:noProof/>
        </w:rPr>
        <w:t>3</w:t>
      </w:r>
      <w:r>
        <w:fldChar w:fldCharType="end"/>
      </w:r>
      <w:r>
        <w:t xml:space="preserve">. </w:t>
      </w:r>
      <w:r w:rsidRPr="00D412FA">
        <w:t>Distribución de variables de consumo de energía</w:t>
      </w:r>
      <w:bookmarkEnd w:id="26"/>
    </w:p>
    <w:p w14:paraId="5D69D158" w14:textId="77777777" w:rsidR="00E11DF3" w:rsidRDefault="00000000">
      <w:pPr>
        <w:pBdr>
          <w:top w:val="nil"/>
          <w:left w:val="nil"/>
          <w:bottom w:val="nil"/>
          <w:right w:val="nil"/>
          <w:between w:val="nil"/>
        </w:pBdr>
        <w:ind w:firstLine="709"/>
        <w:jc w:val="center"/>
      </w:pPr>
      <w:r>
        <w:rPr>
          <w:noProof/>
        </w:rPr>
        <w:drawing>
          <wp:inline distT="114300" distB="114300" distL="114300" distR="114300" wp14:anchorId="6B7A6090" wp14:editId="50D7750A">
            <wp:extent cx="5838409" cy="5101335"/>
            <wp:effectExtent l="0" t="0" r="0" b="0"/>
            <wp:docPr id="3970416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38409" cy="5101335"/>
                    </a:xfrm>
                    <a:prstGeom prst="rect">
                      <a:avLst/>
                    </a:prstGeom>
                    <a:ln/>
                  </pic:spPr>
                </pic:pic>
              </a:graphicData>
            </a:graphic>
          </wp:inline>
        </w:drawing>
      </w:r>
    </w:p>
    <w:p w14:paraId="3F90F755" w14:textId="77777777" w:rsidR="00E11DF3" w:rsidRDefault="00E11DF3">
      <w:pPr>
        <w:pBdr>
          <w:top w:val="nil"/>
          <w:left w:val="nil"/>
          <w:bottom w:val="nil"/>
          <w:right w:val="nil"/>
          <w:between w:val="nil"/>
        </w:pBdr>
        <w:ind w:firstLine="709"/>
        <w:jc w:val="left"/>
      </w:pPr>
    </w:p>
    <w:p w14:paraId="376D53F7" w14:textId="77777777" w:rsidR="00E11DF3" w:rsidRDefault="00000000">
      <w:pPr>
        <w:pBdr>
          <w:top w:val="nil"/>
          <w:left w:val="nil"/>
          <w:bottom w:val="nil"/>
          <w:right w:val="nil"/>
          <w:between w:val="nil"/>
        </w:pBdr>
        <w:ind w:firstLine="709"/>
        <w:jc w:val="left"/>
      </w:pPr>
      <w:r>
        <w:t>Para la identificación de datos atípicos se tomaron aquellos valores que se encuentran un 50% por encima y por debajo del rango intercuartil de cada una de las variables. El resumen se observa en la Tabla 4. La decisión de eliminarlos está condicionada a la validación por parte de los expertos del negocio.</w:t>
      </w:r>
    </w:p>
    <w:p w14:paraId="783B0DA2" w14:textId="77777777" w:rsidR="00E11DF3" w:rsidRDefault="00E11DF3">
      <w:pPr>
        <w:pBdr>
          <w:top w:val="nil"/>
          <w:left w:val="nil"/>
          <w:bottom w:val="nil"/>
          <w:right w:val="nil"/>
          <w:between w:val="nil"/>
        </w:pBdr>
        <w:ind w:firstLine="709"/>
        <w:jc w:val="center"/>
      </w:pPr>
    </w:p>
    <w:p w14:paraId="050DECED" w14:textId="0FD784A3" w:rsidR="007652E4" w:rsidRDefault="007652E4" w:rsidP="007652E4">
      <w:pPr>
        <w:pStyle w:val="Descripcin"/>
        <w:keepNext/>
        <w:jc w:val="center"/>
      </w:pPr>
      <w:bookmarkStart w:id="27" w:name="_heading=h.2u6wntf" w:colFirst="0" w:colLast="0"/>
      <w:bookmarkStart w:id="28" w:name="_Toc167742377"/>
      <w:bookmarkEnd w:id="27"/>
      <w:r>
        <w:lastRenderedPageBreak/>
        <w:t xml:space="preserve">Tabla </w:t>
      </w:r>
      <w:r>
        <w:fldChar w:fldCharType="begin"/>
      </w:r>
      <w:r>
        <w:instrText xml:space="preserve"> SEQ Tabla \* ARABIC </w:instrText>
      </w:r>
      <w:r>
        <w:fldChar w:fldCharType="separate"/>
      </w:r>
      <w:r>
        <w:rPr>
          <w:noProof/>
        </w:rPr>
        <w:t>4</w:t>
      </w:r>
      <w:r>
        <w:fldChar w:fldCharType="end"/>
      </w:r>
      <w:r>
        <w:t xml:space="preserve">. </w:t>
      </w:r>
      <w:r w:rsidRPr="00BF2EB2">
        <w:t>Identificación de valores atípicos utilizando el rango intercuartil</w:t>
      </w:r>
      <w:bookmarkEnd w:id="28"/>
    </w:p>
    <w:p w14:paraId="30C0FA5A" w14:textId="77777777" w:rsidR="00E11DF3" w:rsidRDefault="00000000">
      <w:pPr>
        <w:pBdr>
          <w:top w:val="nil"/>
          <w:left w:val="nil"/>
          <w:bottom w:val="nil"/>
          <w:right w:val="nil"/>
          <w:between w:val="nil"/>
        </w:pBdr>
        <w:ind w:firstLine="709"/>
        <w:jc w:val="center"/>
      </w:pPr>
      <w:r>
        <w:rPr>
          <w:noProof/>
        </w:rPr>
        <w:drawing>
          <wp:inline distT="114300" distB="114300" distL="114300" distR="114300" wp14:anchorId="74B1DCDE" wp14:editId="6673217D">
            <wp:extent cx="3314700" cy="1371600"/>
            <wp:effectExtent l="0" t="0" r="0" b="0"/>
            <wp:docPr id="3970416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314700" cy="1371600"/>
                    </a:xfrm>
                    <a:prstGeom prst="rect">
                      <a:avLst/>
                    </a:prstGeom>
                    <a:ln/>
                  </pic:spPr>
                </pic:pic>
              </a:graphicData>
            </a:graphic>
          </wp:inline>
        </w:drawing>
      </w:r>
    </w:p>
    <w:p w14:paraId="76512ADB" w14:textId="77777777" w:rsidR="00E11DF3" w:rsidRDefault="00E11DF3">
      <w:pPr>
        <w:pBdr>
          <w:top w:val="nil"/>
          <w:left w:val="nil"/>
          <w:bottom w:val="nil"/>
          <w:right w:val="nil"/>
          <w:between w:val="nil"/>
        </w:pBdr>
        <w:ind w:firstLine="709"/>
        <w:jc w:val="left"/>
      </w:pPr>
    </w:p>
    <w:p w14:paraId="22E5FD6F" w14:textId="77777777" w:rsidR="00E11DF3" w:rsidRDefault="00E11DF3">
      <w:pPr>
        <w:pBdr>
          <w:top w:val="nil"/>
          <w:left w:val="nil"/>
          <w:bottom w:val="nil"/>
          <w:right w:val="nil"/>
          <w:between w:val="nil"/>
        </w:pBdr>
        <w:rPr>
          <w:color w:val="000000"/>
        </w:rPr>
      </w:pPr>
    </w:p>
    <w:p w14:paraId="6C385820" w14:textId="77777777" w:rsidR="00E11DF3" w:rsidRDefault="00000000">
      <w:pPr>
        <w:pStyle w:val="Ttulo1"/>
        <w:jc w:val="left"/>
      </w:pPr>
      <w:r>
        <w:br w:type="page"/>
      </w:r>
    </w:p>
    <w:p w14:paraId="4899A46F" w14:textId="77777777" w:rsidR="00E11DF3" w:rsidRDefault="00000000" w:rsidP="00C52105">
      <w:pPr>
        <w:pStyle w:val="Ttulo1"/>
        <w:ind w:left="360"/>
      </w:pPr>
      <w:bookmarkStart w:id="29" w:name="_Toc167743148"/>
      <w:r>
        <w:lastRenderedPageBreak/>
        <w:t>Referencias</w:t>
      </w:r>
      <w:bookmarkEnd w:id="29"/>
    </w:p>
    <w:p w14:paraId="124CB3C0" w14:textId="77777777" w:rsidR="00C52105" w:rsidRPr="00C52105" w:rsidRDefault="00C52105" w:rsidP="00C52105"/>
    <w:p w14:paraId="494603E0" w14:textId="77777777" w:rsidR="00E11DF3" w:rsidRDefault="00000000">
      <w:pPr>
        <w:spacing w:line="480" w:lineRule="auto"/>
        <w:ind w:left="720"/>
        <w:jc w:val="left"/>
      </w:pPr>
      <w:r>
        <w:t xml:space="preserve">CELSIA. (2022, febrero 20). </w:t>
      </w:r>
      <w:r>
        <w:rPr>
          <w:i/>
        </w:rPr>
        <w:t>¿Qué es la energía reactiva?</w:t>
      </w:r>
      <w:r>
        <w:t xml:space="preserve"> Celsia. Retrieved abril 27, 2024, from https://www.celsia.com/en/blog-celsia/conoce-todo-lo-que-debes-saber-sobre-energia-reactiva-por-que-se-refleja-en-tu-factura-la-energia-reactiva/</w:t>
      </w:r>
    </w:p>
    <w:p w14:paraId="1E0F8224" w14:textId="77777777" w:rsidR="00E11DF3" w:rsidRDefault="00000000">
      <w:pPr>
        <w:spacing w:line="480" w:lineRule="auto"/>
        <w:ind w:left="720"/>
        <w:jc w:val="left"/>
      </w:pPr>
      <w:r>
        <w:t xml:space="preserve">CREG. (2018, febrero 03). </w:t>
      </w:r>
      <w:r>
        <w:rPr>
          <w:i/>
        </w:rPr>
        <w:t>Alejandría - Resolución 15 de 2018 CREG</w:t>
      </w:r>
      <w:r>
        <w:t>. Gestor normativo CREG. Retrieved abril 19, 2024, from https://gestornormativo.creg.gov.co/gestor/entorno/docs/resolucion_creg_0015_2018.htm</w:t>
      </w:r>
    </w:p>
    <w:p w14:paraId="540069C8" w14:textId="77777777" w:rsidR="00E11DF3" w:rsidRDefault="00000000">
      <w:pPr>
        <w:spacing w:line="480" w:lineRule="auto"/>
        <w:ind w:left="720"/>
        <w:jc w:val="left"/>
      </w:pPr>
      <w:r>
        <w:t xml:space="preserve">CREG. (2020, enero 20). </w:t>
      </w:r>
      <w:r>
        <w:rPr>
          <w:i/>
        </w:rPr>
        <w:t>Alejandría - Resolución 199 de 2019 CREG</w:t>
      </w:r>
      <w:r>
        <w:t>. Gestor normativo CREG. Retrieved abril 19, 2024, from https://gestornormativo.creg.gov.co/gestor/entorno/docs/resolucion_creg_0199_2019.htm</w:t>
      </w:r>
    </w:p>
    <w:p w14:paraId="2EE6FB2B" w14:textId="77777777" w:rsidR="00E11DF3" w:rsidRDefault="00000000">
      <w:pPr>
        <w:spacing w:line="480" w:lineRule="auto"/>
        <w:ind w:left="720"/>
        <w:jc w:val="left"/>
      </w:pPr>
      <w:r>
        <w:t xml:space="preserve">CREG. (2022, octubre 22). </w:t>
      </w:r>
      <w:r>
        <w:rPr>
          <w:i/>
        </w:rPr>
        <w:t>Alejandría - Resolución 195 de 2020 CREG</w:t>
      </w:r>
      <w:r>
        <w:t>. Gestor normativo CREG. Retrieved abril 19, 2024, from https://gestornormativo.creg.gov.co/gestor/entorno/docs/resolucion_creg_0195_2020.htm</w:t>
      </w:r>
    </w:p>
    <w:p w14:paraId="6E3E6E78" w14:textId="77777777" w:rsidR="00E11DF3" w:rsidRDefault="00000000">
      <w:pPr>
        <w:spacing w:line="480" w:lineRule="auto"/>
        <w:ind w:left="720"/>
        <w:jc w:val="left"/>
      </w:pPr>
      <w:r>
        <w:t xml:space="preserve">EPM. (2023). </w:t>
      </w:r>
      <w:r>
        <w:rPr>
          <w:i/>
        </w:rPr>
        <w:t>Energía reactiva</w:t>
      </w:r>
      <w:r>
        <w:t>. EPM. Retrieved abril 19, 2024, from https://www.epm.com.co/clientesyusuarios/energia/tarifas-energia/energia-reactiva.html</w:t>
      </w:r>
    </w:p>
    <w:p w14:paraId="6C20E73B" w14:textId="77777777" w:rsidR="00E11DF3" w:rsidRDefault="00E11DF3"/>
    <w:p w14:paraId="4553A32B" w14:textId="77777777" w:rsidR="00E11DF3" w:rsidRDefault="00E11DF3">
      <w:pPr>
        <w:rPr>
          <w:b/>
        </w:rPr>
      </w:pPr>
    </w:p>
    <w:p w14:paraId="34A76F48" w14:textId="77777777" w:rsidR="00E11DF3" w:rsidRDefault="00E11DF3">
      <w:pPr>
        <w:rPr>
          <w:color w:val="000000"/>
        </w:rPr>
      </w:pPr>
    </w:p>
    <w:p w14:paraId="1664DBA6" w14:textId="77777777" w:rsidR="00E11DF3" w:rsidRDefault="00E11DF3">
      <w:pPr>
        <w:jc w:val="left"/>
        <w:rPr>
          <w:color w:val="000000"/>
        </w:rPr>
      </w:pPr>
    </w:p>
    <w:sectPr w:rsidR="00E11DF3" w:rsidSect="00C52105">
      <w:headerReference w:type="default" r:id="rId17"/>
      <w:footerReference w:type="default" r:id="rId18"/>
      <w:footerReference w:type="first" r:id="rId19"/>
      <w:pgSz w:w="12240" w:h="15840"/>
      <w:pgMar w:top="1418" w:right="1418" w:bottom="1418" w:left="1418"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A1FF6" w14:textId="77777777" w:rsidR="00013FD4" w:rsidRDefault="00013FD4">
      <w:pPr>
        <w:spacing w:line="240" w:lineRule="auto"/>
      </w:pPr>
      <w:r>
        <w:separator/>
      </w:r>
    </w:p>
  </w:endnote>
  <w:endnote w:type="continuationSeparator" w:id="0">
    <w:p w14:paraId="24585BE9" w14:textId="77777777" w:rsidR="00013FD4" w:rsidRDefault="00013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CC17" w14:textId="77777777" w:rsidR="00E11DF3" w:rsidRDefault="00000000">
    <w:r>
      <w:fldChar w:fldCharType="begin"/>
    </w:r>
    <w:r>
      <w:instrText>PAGE</w:instrText>
    </w:r>
    <w:r>
      <w:fldChar w:fldCharType="separate"/>
    </w:r>
    <w:r w:rsidR="007652E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1A17" w14:textId="77777777" w:rsidR="00E11DF3" w:rsidRDefault="00E11D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E9A18" w14:textId="77777777" w:rsidR="00013FD4" w:rsidRDefault="00013FD4">
      <w:pPr>
        <w:spacing w:line="240" w:lineRule="auto"/>
      </w:pPr>
      <w:r>
        <w:separator/>
      </w:r>
    </w:p>
  </w:footnote>
  <w:footnote w:type="continuationSeparator" w:id="0">
    <w:p w14:paraId="0D3D9D0D" w14:textId="77777777" w:rsidR="00013FD4" w:rsidRDefault="00013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8F517" w14:textId="77777777" w:rsidR="00E11DF3"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0" w:name="_heading=h.1gf8i83" w:colFirst="0" w:colLast="0"/>
    <w:bookmarkEnd w:id="30"/>
    <w:r>
      <w:pict w14:anchorId="6555F019">
        <v:rect id="_x0000_i1025" style="width:0;height:1.5pt" o:hralign="center" o:hrstd="t" o:hr="t" fillcolor="#a0a0a0" stroked="f"/>
      </w:pict>
    </w:r>
  </w:p>
  <w:p w14:paraId="560F5E5A" w14:textId="77777777" w:rsidR="00E11DF3" w:rsidRDefault="00E11DF3">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15E8"/>
    <w:multiLevelType w:val="multilevel"/>
    <w:tmpl w:val="5A6C4CC8"/>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863595"/>
    <w:multiLevelType w:val="multilevel"/>
    <w:tmpl w:val="83BE7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425B52"/>
    <w:multiLevelType w:val="multilevel"/>
    <w:tmpl w:val="67383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D36AA6"/>
    <w:multiLevelType w:val="multilevel"/>
    <w:tmpl w:val="633ECFBC"/>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5DC7D00"/>
    <w:multiLevelType w:val="multilevel"/>
    <w:tmpl w:val="5E2E6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80370"/>
    <w:multiLevelType w:val="multilevel"/>
    <w:tmpl w:val="2D00A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6816931">
    <w:abstractNumId w:val="5"/>
  </w:num>
  <w:num w:numId="2" w16cid:durableId="686442737">
    <w:abstractNumId w:val="3"/>
  </w:num>
  <w:num w:numId="3" w16cid:durableId="1164474423">
    <w:abstractNumId w:val="2"/>
  </w:num>
  <w:num w:numId="4" w16cid:durableId="360934950">
    <w:abstractNumId w:val="4"/>
  </w:num>
  <w:num w:numId="5" w16cid:durableId="261114256">
    <w:abstractNumId w:val="0"/>
  </w:num>
  <w:num w:numId="6" w16cid:durableId="198839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F3"/>
    <w:rsid w:val="00013FD4"/>
    <w:rsid w:val="007652E4"/>
    <w:rsid w:val="008E2031"/>
    <w:rsid w:val="009B13FF"/>
    <w:rsid w:val="00AB7595"/>
    <w:rsid w:val="00B7664D"/>
    <w:rsid w:val="00C52105"/>
    <w:rsid w:val="00CF2062"/>
    <w:rsid w:val="00E11DF3"/>
    <w:rsid w:val="00E14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A19A"/>
  <w15:docId w15:val="{295C48EB-8E57-42F8-A277-F7C1B2A7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aSs8Pt/E/U4NcXECrLiy4cLqw==">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</go:docsCustomData>
</go:gDocsCustomXmlDataStorage>
</file>

<file path=customXml/item2.xml><?xml version="1.0" encoding="utf-8"?>
<b:Sources xmlns:b="http://schemas.openxmlformats.org/officeDocument/2006/bibliography" StyleName="APA" SelectedStyle="/APASixthEditionOfficeOnline.xsl" Version="6">
  <b:Source>
    <b:Tag>source1</b:Tag>
    <b:Month>febrero</b:Month>
    <b:DayAccessed>27</b:DayAccessed>
    <b:Day>20</b:Day>
    <b:Year>2022</b:Year>
    <b:SourceType>DocumentFromInternetSite</b:SourceType>
    <b:URL>https://www.celsia.com/en/blog-celsia/conoce-todo-lo-que-debes-saber-sobre-energia-reactiva-por-que-se-refleja-en-tu-factura-la-energia-reactiva/</b:URL>
    <b:Title>¿Qué es la energía reactiva?</b:Title>
    <b:InternetSiteTitle>Celsia</b:InternetSiteTitle>
    <b:MonthAccessed>abril</b:MonthAccessed>
    <b:YearAccessed>2024</b:YearAccessed>
    <b:Gdcea>{"AccessedType":"Website"}</b:Gdcea>
    <b:Author>
      <b:Author>
        <b:Corporate>CELSIA</b:Corporate>
      </b:Author>
    </b:Author>
  </b:Source>
  <b:Source>
    <b:Tag>source2</b:Tag>
    <b:DayAccessed>19</b:DayAccessed>
    <b:Year>2023</b:Year>
    <b:SourceType>DocumentFromInternetSite</b:SourceType>
    <b:URL>https://www.epm.com.co/clientesyusuarios/energia/tarifas-energia/energia-reactiva.html</b:URL>
    <b:Title>Energía reactiva</b:Title>
    <b:InternetSiteTitle>EPM</b:InternetSiteTitle>
    <b:MonthAccessed>abril</b:MonthAccessed>
    <b:YearAccessed>2024</b:YearAccessed>
    <b:Gdcea>{"AccessedType":"Website"}</b:Gdcea>
    <b:Author>
      <b:Author>
        <b:Corporate>EPM</b:Corporate>
      </b:Author>
    </b:Author>
  </b:Source>
  <b:Source>
    <b:Tag>source3</b:Tag>
    <b:Month>febrero</b:Month>
    <b:DayAccessed>19</b:DayAccessed>
    <b:Day>03</b:Day>
    <b:Year>2018</b:Year>
    <b:SourceType>DocumentFromInternetSite</b:SourceType>
    <b:URL>https://gestornormativo.creg.gov.co/gestor/entorno/docs/resolucion_creg_0015_2018.htm</b:URL>
    <b:Title>Alejandría - Resolución 15 de 2018 CREG</b:Title>
    <b:InternetSiteTitle>Gestor normativo CREG</b:InternetSiteTitle>
    <b:MonthAccessed>abril</b:MonthAccessed>
    <b:YearAccessed>2024</b:YearAccessed>
    <b:Gdcea>{"AccessedType":"Website"}</b:Gdcea>
    <b:Author>
      <b:Author>
        <b:Corporate>CREG</b:Corporate>
      </b:Author>
    </b:Author>
  </b:Source>
  <b:Source>
    <b:Tag>source4</b:Tag>
    <b:Month>enero</b:Month>
    <b:DayAccessed>19</b:DayAccessed>
    <b:Day>20</b:Day>
    <b:Year>2020</b:Year>
    <b:SourceType>DocumentFromInternetSite</b:SourceType>
    <b:URL>https://gestornormativo.creg.gov.co/gestor/entorno/docs/resolucion_creg_0199_2019.htm</b:URL>
    <b:Title>Alejandría - Resolución 199 de 2019 CREG</b:Title>
    <b:InternetSiteTitle>Gestor normativo CREG</b:InternetSiteTitle>
    <b:MonthAccessed>abril</b:MonthAccessed>
    <b:YearAccessed>2024</b:YearAccessed>
    <b:Gdcea>{"AccessedType":"Website"}</b:Gdcea>
    <b:Author>
      <b:Author>
        <b:Corporate>CREG</b:Corporate>
      </b:Author>
    </b:Author>
  </b:Source>
  <b:Source>
    <b:Tag>source5</b:Tag>
    <b:Month>octubre</b:Month>
    <b:DayAccessed>19</b:DayAccessed>
    <b:Day>22</b:Day>
    <b:Year>2022</b:Year>
    <b:SourceType>DocumentFromInternetSite</b:SourceType>
    <b:URL>https://gestornormativo.creg.gov.co/gestor/entorno/docs/resolucion_creg_0195_2020.htm</b:URL>
    <b:Title>Alejandría - Resolución 195 de 2020 CREG</b:Title>
    <b:InternetSiteTitle>Gestor normativo CREG</b:InternetSiteTitle>
    <b:MonthAccessed>abril</b:MonthAccessed>
    <b:YearAccessed>2024</b:YearAccessed>
    <b:Gdcea>{"AccessedType":"Website"}</b:Gdcea>
    <b:Author>
      <b:Author>
        <b:Corporate>CREG</b:Corporate>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2206</Words>
  <Characters>12137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YOHINER ANDRES BORJA GOEZ</cp:lastModifiedBy>
  <cp:revision>3</cp:revision>
  <dcterms:created xsi:type="dcterms:W3CDTF">2016-01-19T21:36:00Z</dcterms:created>
  <dcterms:modified xsi:type="dcterms:W3CDTF">2024-05-28T04:02:00Z</dcterms:modified>
</cp:coreProperties>
</file>