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aconcuadrcula"/>
        <w:tblW w:w="1009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47"/>
        <w:gridCol w:w="237"/>
        <w:gridCol w:w="533"/>
        <w:gridCol w:w="1227"/>
        <w:gridCol w:w="1280"/>
        <w:gridCol w:w="636"/>
        <w:gridCol w:w="814"/>
        <w:gridCol w:w="493"/>
        <w:gridCol w:w="459"/>
        <w:gridCol w:w="192"/>
        <w:gridCol w:w="320"/>
        <w:gridCol w:w="311"/>
        <w:gridCol w:w="361"/>
        <w:gridCol w:w="91"/>
        <w:gridCol w:w="412"/>
        <w:gridCol w:w="98"/>
        <w:gridCol w:w="847"/>
        <w:gridCol w:w="220"/>
        <w:gridCol w:w="413"/>
      </w:tblGrid>
      <w:tr>
        <w:trPr>
          <w:trHeight w:val="534" w:hRule="atLeast"/>
        </w:trPr>
        <w:tc>
          <w:tcPr>
            <w:tcW w:w="3144" w:type="dxa"/>
            <w:gridSpan w:val="4"/>
            <w:vMerge w:val="restart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drawing>
                <wp:anchor behindDoc="0" distT="0" distB="0" distL="0" distR="0" simplePos="0" locked="0" layoutInCell="1" allowOverlap="1" relativeHeight="6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57785</wp:posOffset>
                  </wp:positionV>
                  <wp:extent cx="1333500" cy="577215"/>
                  <wp:effectExtent l="0" t="0" r="0" b="0"/>
                  <wp:wrapNone/>
                  <wp:docPr id="1" name="Imagen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577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id="0" w:name="_GoBack"/>
            <w:bookmarkStart w:id="1" w:name="_GoBack"/>
            <w:bookmarkEnd w:id="1"/>
          </w:p>
        </w:tc>
        <w:tc>
          <w:tcPr>
            <w:tcW w:w="4866" w:type="dxa"/>
            <w:gridSpan w:val="9"/>
            <w:vMerge w:val="restart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4"/>
                <w:szCs w:val="24"/>
              </w:rPr>
            </w:pPr>
            <w:r>
              <w:rPr>
                <w:rFonts w:eastAsia="Calibri" w:cs="Calibri" w:cstheme="minorHAnsi"/>
                <w:b/>
                <w:kern w:val="0"/>
                <w:sz w:val="24"/>
                <w:szCs w:val="24"/>
                <w:lang w:eastAsia="en-US" w:bidi="ar-SA"/>
              </w:rPr>
              <w:t>GUÍA DIDÁCTICA DE ASIGNATURA Y CONCERTACIÓN DE EVALUACIÓN</w:t>
            </w:r>
          </w:p>
        </w:tc>
        <w:tc>
          <w:tcPr>
            <w:tcW w:w="2081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kern w:val="0"/>
                <w:sz w:val="24"/>
                <w:szCs w:val="24"/>
                <w:lang w:eastAsia="es-CO" w:bidi="ar-SA"/>
              </w:rPr>
              <w:t>Código: FD-GC71</w:t>
            </w:r>
          </w:p>
        </w:tc>
      </w:tr>
      <w:tr>
        <w:trPr>
          <w:trHeight w:val="556" w:hRule="atLeast"/>
        </w:trPr>
        <w:tc>
          <w:tcPr>
            <w:tcW w:w="3144" w:type="dxa"/>
            <w:gridSpan w:val="4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4866" w:type="dxa"/>
            <w:gridSpan w:val="9"/>
            <w:vMerge w:val="continue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081" w:type="dxa"/>
            <w:gridSpan w:val="6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4"/>
                <w:szCs w:val="24"/>
              </w:rPr>
            </w:pPr>
            <w:r>
              <w:rPr>
                <w:rFonts w:eastAsia="Times New Roman" w:cs="Calibri" w:cstheme="minorHAnsi"/>
                <w:color w:val="000000"/>
                <w:kern w:val="0"/>
                <w:sz w:val="24"/>
                <w:szCs w:val="24"/>
                <w:lang w:eastAsia="es-CO" w:bidi="ar-SA"/>
              </w:rPr>
              <w:t>Versión: 10</w:t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IDENTIFICACIÓN DE LA ASIGNATURA</w:t>
            </w:r>
          </w:p>
        </w:tc>
      </w:tr>
      <w:tr>
        <w:trPr/>
        <w:tc>
          <w:tcPr>
            <w:tcW w:w="5060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PROGRAMA ACADÉMICO</w:t>
            </w:r>
          </w:p>
        </w:tc>
        <w:tc>
          <w:tcPr>
            <w:tcW w:w="5031" w:type="dxa"/>
            <w:gridSpan w:val="1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eastAsia="en-US" w:bidi="ar-SA"/>
              </w:rPr>
              <w:t>ASIGNATURA DE CIENCIAS BASICAS</w:t>
            </w:r>
          </w:p>
        </w:tc>
      </w:tr>
      <w:tr>
        <w:trPr/>
        <w:tc>
          <w:tcPr>
            <w:tcW w:w="5060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ASIGNATURA</w:t>
            </w:r>
          </w:p>
        </w:tc>
        <w:tc>
          <w:tcPr>
            <w:tcW w:w="5031" w:type="dxa"/>
            <w:gridSpan w:val="1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eastAsia="en-US" w:bidi="ar-SA"/>
              </w:rPr>
              <w:t>ESTADÍSTICA</w:t>
            </w:r>
          </w:p>
        </w:tc>
      </w:tr>
      <w:tr>
        <w:trPr/>
        <w:tc>
          <w:tcPr>
            <w:tcW w:w="5060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CÓDIGO</w:t>
            </w:r>
          </w:p>
        </w:tc>
        <w:tc>
          <w:tcPr>
            <w:tcW w:w="5031" w:type="dxa"/>
            <w:gridSpan w:val="1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eastAsia="en-US" w:bidi="ar-SA"/>
              </w:rPr>
              <w:t>CBS00074</w:t>
            </w:r>
          </w:p>
        </w:tc>
      </w:tr>
      <w:tr>
        <w:trPr/>
        <w:tc>
          <w:tcPr>
            <w:tcW w:w="5060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ÁREA DE FORMACIÓN</w:t>
            </w:r>
          </w:p>
        </w:tc>
        <w:tc>
          <w:tcPr>
            <w:tcW w:w="5031" w:type="dxa"/>
            <w:gridSpan w:val="1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eastAsia="en-US" w:bidi="ar-SA"/>
              </w:rPr>
              <w:t>AREA DE CIENCIAS BÁSICAS</w:t>
            </w:r>
          </w:p>
        </w:tc>
      </w:tr>
      <w:tr>
        <w:trPr/>
        <w:tc>
          <w:tcPr>
            <w:tcW w:w="5060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PRERREQUISITO(S)</w:t>
            </w:r>
          </w:p>
        </w:tc>
        <w:tc>
          <w:tcPr>
            <w:tcW w:w="5031" w:type="dxa"/>
            <w:gridSpan w:val="1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/>
        <w:tc>
          <w:tcPr>
            <w:tcW w:w="5060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CORREQUISITO(S)</w:t>
            </w:r>
          </w:p>
        </w:tc>
        <w:tc>
          <w:tcPr>
            <w:tcW w:w="5031" w:type="dxa"/>
            <w:gridSpan w:val="1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/>
        <w:tc>
          <w:tcPr>
            <w:tcW w:w="5060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TIPO DE ASIGNATURA</w:t>
            </w:r>
          </w:p>
        </w:tc>
        <w:tc>
          <w:tcPr>
            <w:tcW w:w="814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Teórica</w:t>
            </w:r>
          </w:p>
        </w:tc>
        <w:tc>
          <w:tcPr>
            <w:tcW w:w="49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1734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Teórico-práctica</w:t>
            </w:r>
          </w:p>
        </w:tc>
        <w:tc>
          <w:tcPr>
            <w:tcW w:w="51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eastAsia="en-US" w:bidi="ar-SA"/>
              </w:rPr>
              <w:t>X</w:t>
            </w:r>
          </w:p>
        </w:tc>
        <w:tc>
          <w:tcPr>
            <w:tcW w:w="1067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Práctica</w:t>
            </w:r>
          </w:p>
        </w:tc>
        <w:tc>
          <w:tcPr>
            <w:tcW w:w="413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/>
        <w:tc>
          <w:tcPr>
            <w:tcW w:w="5060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NÚMERO DE CRÉDITOS</w:t>
            </w:r>
          </w:p>
        </w:tc>
        <w:tc>
          <w:tcPr>
            <w:tcW w:w="5031" w:type="dxa"/>
            <w:gridSpan w:val="1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eastAsia="en-US" w:bidi="ar-SA"/>
              </w:rPr>
              <w:t>4</w:t>
            </w:r>
          </w:p>
        </w:tc>
      </w:tr>
      <w:tr>
        <w:trPr/>
        <w:tc>
          <w:tcPr>
            <w:tcW w:w="5060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DISTRIBUCIÓN HORARIA SEMANAL</w:t>
            </w:r>
          </w:p>
        </w:tc>
        <w:tc>
          <w:tcPr>
            <w:tcW w:w="1766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Horas de trabajo presencial HTP</w:t>
            </w:r>
          </w:p>
        </w:tc>
        <w:tc>
          <w:tcPr>
            <w:tcW w:w="512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eastAsia="en-US" w:bidi="ar-SA"/>
              </w:rPr>
              <w:t>4</w:t>
            </w:r>
          </w:p>
        </w:tc>
        <w:tc>
          <w:tcPr>
            <w:tcW w:w="2120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Horas de trabajo independiente HTI</w:t>
            </w:r>
          </w:p>
        </w:tc>
        <w:tc>
          <w:tcPr>
            <w:tcW w:w="633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eastAsia="en-US" w:bidi="ar-SA"/>
              </w:rPr>
              <w:t>5</w:t>
            </w:r>
          </w:p>
        </w:tc>
      </w:tr>
      <w:tr>
        <w:trPr/>
        <w:tc>
          <w:tcPr>
            <w:tcW w:w="5060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PROFESOR</w:t>
            </w:r>
          </w:p>
        </w:tc>
        <w:tc>
          <w:tcPr>
            <w:tcW w:w="5031" w:type="dxa"/>
            <w:gridSpan w:val="1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eastAsia="en-US" w:bidi="ar-SA"/>
              </w:rPr>
              <w:t>Javier Andrés Causil Martínez</w:t>
            </w:r>
          </w:p>
        </w:tc>
      </w:tr>
      <w:tr>
        <w:trPr/>
        <w:tc>
          <w:tcPr>
            <w:tcW w:w="5060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CORREO ELECTRÓNICO</w:t>
            </w:r>
          </w:p>
        </w:tc>
        <w:tc>
          <w:tcPr>
            <w:tcW w:w="5031" w:type="dxa"/>
            <w:gridSpan w:val="1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eastAsia="en-US" w:bidi="ar-SA"/>
              </w:rPr>
              <w:t>jcausilmartinez@gmail.com</w:t>
            </w:r>
          </w:p>
        </w:tc>
      </w:tr>
      <w:tr>
        <w:trPr/>
        <w:tc>
          <w:tcPr>
            <w:tcW w:w="5060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GRUPO</w:t>
            </w:r>
          </w:p>
        </w:tc>
        <w:tc>
          <w:tcPr>
            <w:tcW w:w="5031" w:type="dxa"/>
            <w:gridSpan w:val="1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eastAsia="en-US" w:bidi="ar-SA"/>
              </w:rPr>
              <w:t>Tecnología de costos y auditoria</w:t>
            </w:r>
          </w:p>
        </w:tc>
      </w:tr>
      <w:tr>
        <w:trPr/>
        <w:tc>
          <w:tcPr>
            <w:tcW w:w="5060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PERÍODO ACADÉMICO</w:t>
            </w:r>
          </w:p>
        </w:tc>
        <w:tc>
          <w:tcPr>
            <w:tcW w:w="5031" w:type="dxa"/>
            <w:gridSpan w:val="1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eastAsia="en-US" w:bidi="ar-SA"/>
              </w:rPr>
              <w:t>2</w:t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auto" w:val="clea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center"/>
              <w:rPr>
                <w:b/>
                <w:b/>
                <w:color w:val="000000"/>
                <w:sz w:val="20"/>
                <w:szCs w:val="20"/>
                <w:shd w:fill="FFF2CC" w:val="clear"/>
              </w:rPr>
            </w:pPr>
            <w:r>
              <w:rPr>
                <w:rFonts w:eastAsia="Calibri" w:cs=""/>
                <w:b/>
                <w:color w:val="000000"/>
                <w:kern w:val="0"/>
                <w:sz w:val="20"/>
                <w:szCs w:val="20"/>
                <w:shd w:fill="FFF2CC" w:val="clear"/>
                <w:lang w:eastAsia="en-US" w:bidi="ar-SA"/>
              </w:rPr>
              <w:t>JUSTIFICACIÓN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/>
                <w:kern w:val="0"/>
                <w:sz w:val="20"/>
                <w:szCs w:val="20"/>
                <w:lang w:eastAsia="en-US" w:bidi="ar-SA"/>
              </w:rPr>
              <w:t>De conformidad con el programa académico, el Plan de Estudios, el Área a la que corresponde la asignatura, las competencias y resultados de aprendizaje, establecer el enfoque, el contexto en el que se desenvuelve la asignatura y cuáles con son temas que aportan a la formación académica, profesional, laboral y social que la configuran</w:t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spacing w:lineRule="auto" w:line="259" w:before="0" w:after="160"/>
              <w:jc w:val="center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0"/>
                <w:szCs w:val="20"/>
                <w:lang w:eastAsia="en-US" w:bidi="ar-SA"/>
              </w:rPr>
              <w:t>COMPETENCIAS A LAS QUE LE TRIBUTA LA ASIGNATURA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Calibri" w:cs=""/>
                <w:color w:val="000000"/>
                <w:kern w:val="0"/>
                <w:sz w:val="20"/>
                <w:szCs w:val="20"/>
                <w:lang w:eastAsia="en-US" w:bidi="ar-SA"/>
              </w:rPr>
              <w:t>Seleccionar de las competencias del programa, aquellas a las cuales, la asignatura le tributa y desarrolla a lo largo del contenido desarrollado y del período académico.</w:t>
            </w:r>
          </w:p>
          <w:p>
            <w:pPr>
              <w:pStyle w:val="Normal"/>
              <w:widowControl w:val="false"/>
              <w:suppressAutoHyphens w:val="true"/>
              <w:spacing w:lineRule="auto" w:line="252" w:before="0" w:after="0"/>
              <w:jc w:val="left"/>
              <w:rPr>
                <w:rFonts w:cs="Calibri" w:cstheme="minorHAnsi"/>
                <w:b/>
                <w:b/>
                <w:color w:val="000000" w:themeColor="text1"/>
                <w:sz w:val="20"/>
                <w:szCs w:val="20"/>
                <w:highlight w:val="cyan"/>
              </w:rPr>
            </w:pPr>
            <w:r>
              <w:rPr>
                <w:rFonts w:cs="Calibri" w:cstheme="minorHAnsi"/>
                <w:b/>
                <w:color w:val="000000" w:themeColor="text1"/>
                <w:sz w:val="22"/>
                <w:szCs w:val="20"/>
                <w:highlight w:val="cyan"/>
              </w:rPr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center"/>
              <w:rPr>
                <w:rFonts w:cs="Calibri" w:cstheme="minorHAnsi"/>
                <w:b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/>
                <w:kern w:val="0"/>
                <w:sz w:val="20"/>
                <w:szCs w:val="20"/>
                <w:shd w:fill="FFF2CC" w:val="clear"/>
                <w:lang w:eastAsia="en-US" w:bidi="ar-SA"/>
              </w:rPr>
              <w:t xml:space="preserve">RESULTADOS DE APRENDIZAJE </w:t>
            </w:r>
            <w:r>
              <w:rPr>
                <w:rFonts w:eastAsia="Calibri"/>
                <w:b/>
                <w:color w:val="000000"/>
                <w:kern w:val="0"/>
                <w:sz w:val="20"/>
                <w:szCs w:val="20"/>
                <w:lang w:eastAsia="en-US" w:bidi="ar-SA"/>
              </w:rPr>
              <w:t>A LOS QUE LE TRIBUTA LA ASIGNATURA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ind w:left="0" w:hanging="0"/>
              <w:contextualSpacing/>
              <w:jc w:val="both"/>
              <w:rPr>
                <w:rFonts w:cs="Calibri" w:cstheme="minorHAnsi"/>
                <w:b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color w:val="000000"/>
                <w:kern w:val="0"/>
                <w:sz w:val="20"/>
                <w:szCs w:val="20"/>
                <w:shd w:fill="FFF2CC" w:val="clear"/>
                <w:lang w:eastAsia="en-US" w:bidi="ar-SA"/>
              </w:rPr>
              <w:t>Establecer desde los Resultados de Aprendizaje del programa, a cuáles le tributa la asignatura desde su enfoque, contenido e interacción profesional, social y académica</w:t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numPr>
                <w:ilvl w:val="0"/>
                <w:numId w:val="1"/>
              </w:numPr>
              <w:suppressAutoHyphens w:val="true"/>
              <w:spacing w:lineRule="auto" w:line="259" w:before="0" w:after="160"/>
              <w:jc w:val="center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0"/>
                <w:szCs w:val="20"/>
                <w:lang w:eastAsia="en-US" w:bidi="ar-SA"/>
              </w:rPr>
              <w:t>OBJETIVOS DE APRENDIZAJE DE LA ASIGNATURA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  <w:sz w:val="20"/>
                <w:szCs w:val="20"/>
              </w:rPr>
            </w:pPr>
            <w:r>
              <w:rPr>
                <w:rFonts w:eastAsia="Calibri" w:cs=""/>
                <w:color w:val="000000"/>
                <w:kern w:val="0"/>
                <w:sz w:val="20"/>
                <w:szCs w:val="20"/>
                <w:lang w:eastAsia="en-US" w:bidi="ar-SA"/>
              </w:rPr>
              <w:t xml:space="preserve">(Los </w:t>
            </w:r>
            <w:r>
              <w:rPr>
                <w:rFonts w:eastAsia="Calibri" w:cs=""/>
                <w:b/>
                <w:i/>
                <w:color w:val="000000"/>
                <w:kern w:val="0"/>
                <w:sz w:val="20"/>
                <w:szCs w:val="20"/>
                <w:lang w:eastAsia="en-US" w:bidi="ar-SA"/>
              </w:rPr>
              <w:t>Objetivos</w:t>
            </w:r>
            <w:r>
              <w:rPr>
                <w:rFonts w:eastAsia="Calibri" w:cs=""/>
                <w:color w:val="000000"/>
                <w:kern w:val="0"/>
                <w:sz w:val="20"/>
                <w:szCs w:val="20"/>
                <w:lang w:eastAsia="en-US" w:bidi="ar-SA"/>
              </w:rPr>
              <w:t xml:space="preserve">, tanto el </w:t>
            </w:r>
            <w:r>
              <w:rPr>
                <w:rFonts w:eastAsia="Calibri" w:cs=""/>
                <w:b/>
                <w:i/>
                <w:color w:val="000000"/>
                <w:kern w:val="0"/>
                <w:sz w:val="20"/>
                <w:szCs w:val="20"/>
                <w:lang w:eastAsia="en-US" w:bidi="ar-SA"/>
              </w:rPr>
              <w:t xml:space="preserve">General </w:t>
            </w:r>
            <w:r>
              <w:rPr>
                <w:rFonts w:eastAsia="Calibri" w:cs=""/>
                <w:color w:val="000000"/>
                <w:kern w:val="0"/>
                <w:sz w:val="20"/>
                <w:szCs w:val="20"/>
                <w:lang w:eastAsia="en-US" w:bidi="ar-SA"/>
              </w:rPr>
              <w:t xml:space="preserve">como los </w:t>
            </w:r>
            <w:r>
              <w:rPr>
                <w:rFonts w:eastAsia="Calibri" w:cs=""/>
                <w:b/>
                <w:i/>
                <w:color w:val="000000"/>
                <w:kern w:val="0"/>
                <w:sz w:val="20"/>
                <w:szCs w:val="20"/>
                <w:lang w:eastAsia="en-US" w:bidi="ar-SA"/>
              </w:rPr>
              <w:t>Específicos</w:t>
            </w:r>
            <w:r>
              <w:rPr>
                <w:rFonts w:eastAsia="Calibri" w:cs=""/>
                <w:color w:val="000000"/>
                <w:kern w:val="0"/>
                <w:sz w:val="20"/>
                <w:szCs w:val="20"/>
                <w:lang w:eastAsia="en-US" w:bidi="ar-SA"/>
              </w:rPr>
              <w:t>, son intenciones de la asignatura que se materializan en la práctica docente.)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i/>
                <w:i/>
                <w:iCs/>
                <w:sz w:val="20"/>
                <w:szCs w:val="20"/>
              </w:rPr>
            </w:pPr>
            <w:r>
              <w:rPr>
                <w:rFonts w:cs="Calibri" w:cstheme="minorHAnsi"/>
                <w:b/>
                <w:i/>
                <w:iCs/>
                <w:sz w:val="22"/>
                <w:szCs w:val="20"/>
              </w:rPr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360" w:hanging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0"/>
                <w:szCs w:val="20"/>
                <w:lang w:eastAsia="en-US" w:bidi="ar-SA"/>
              </w:rPr>
              <w:t>OBJETIVO(S) GENERAL(ES)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ind w:left="360" w:hanging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2"/>
                <w:szCs w:val="22"/>
                <w:lang w:eastAsia="en-US" w:bidi="ar-SA"/>
              </w:rPr>
              <w:t>Proveer a los estudiantes las herramientas adecuadas de la estadística, que le permita establecer los conceptos claros de la estadística, así como desarrollar las habilidades y destrezas, que faciliten y simplifiquen la labor empresarial para la toma de decisiones del profesional.</w:t>
            </w:r>
          </w:p>
          <w:p>
            <w:pPr>
              <w:pStyle w:val="ListParagraph"/>
              <w:widowControl w:val="false"/>
              <w:suppressAutoHyphens w:val="true"/>
              <w:spacing w:lineRule="auto" w:line="240" w:before="0" w:after="0"/>
              <w:contextualSpacing/>
              <w:jc w:val="left"/>
              <w:rPr>
                <w:rFonts w:cs="Calibri" w:cstheme="minorHAnsi"/>
                <w:b/>
                <w:b/>
                <w:color w:val="000000" w:themeColor="text1"/>
                <w:sz w:val="20"/>
                <w:szCs w:val="20"/>
                <w:highlight w:val="cyan"/>
              </w:rPr>
            </w:pPr>
            <w:r>
              <w:rPr>
                <w:rFonts w:cs="Calibri" w:cstheme="minorHAnsi"/>
                <w:b/>
                <w:color w:val="000000" w:themeColor="text1"/>
                <w:sz w:val="20"/>
                <w:szCs w:val="20"/>
                <w:highlight w:val="cyan"/>
              </w:rPr>
            </w:r>
          </w:p>
        </w:tc>
      </w:tr>
      <w:tr>
        <w:trPr>
          <w:trHeight w:val="893" w:hRule="atLeast"/>
        </w:trPr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59" w:before="0" w:after="0"/>
              <w:ind w:left="360" w:hanging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0"/>
                <w:szCs w:val="20"/>
                <w:lang w:eastAsia="en-US" w:bidi="ar-SA"/>
              </w:rPr>
              <w:t>OBJETIVOS ESPECÍFICOS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2"/>
                <w:szCs w:val="22"/>
                <w:lang w:eastAsia="en-US" w:bidi="ar-SA"/>
              </w:rPr>
              <w:t>"Con el desarrollo de los ejes temáticos, el estudiante podrá: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2"/>
                <w:szCs w:val="20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2"/>
                <w:szCs w:val="22"/>
                <w:lang w:eastAsia="en-US" w:bidi="ar-SA"/>
              </w:rPr>
              <w:t>Desarrollar técnicas por medio de ejemplos que permitan al estudiante, identificar los diferentes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2"/>
                <w:szCs w:val="22"/>
                <w:lang w:eastAsia="en-US" w:bidi="ar-SA"/>
              </w:rPr>
              <w:t>conceptos que encierra la Estadística.</w:t>
              <w:br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2"/>
                <w:szCs w:val="22"/>
                <w:lang w:eastAsia="en-US" w:bidi="ar-SA"/>
              </w:rPr>
              <w:t>Establecer herramientas que permitan entender las diferentes aplicaciones estadísticas para el trato de la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2"/>
                <w:szCs w:val="22"/>
                <w:lang w:eastAsia="en-US" w:bidi="ar-SA"/>
              </w:rPr>
              <w:t>información.</w:t>
              <w:br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2"/>
                <w:szCs w:val="22"/>
                <w:lang w:eastAsia="en-US" w:bidi="ar-SA"/>
              </w:rPr>
              <w:t>Enseñar los métodos que permitan procesar de forma adecuada la información recolectada.</w:t>
              <w:br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2"/>
                <w:szCs w:val="22"/>
                <w:lang w:eastAsia="en-US" w:bidi="ar-SA"/>
              </w:rPr>
              <w:t>Identificar términos básicos de la Estadística que permitan el análisis de los problemas contextuales.</w:t>
              <w:br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2"/>
                <w:szCs w:val="22"/>
                <w:lang w:eastAsia="en-US" w:bidi="ar-SA"/>
              </w:rPr>
              <w:t>Conocer las herramientas fundamentales para recoger, resumir y analizar la información para ser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2"/>
                <w:szCs w:val="22"/>
                <w:lang w:eastAsia="en-US" w:bidi="ar-SA"/>
              </w:rPr>
              <w:t>presentada para la toma de decisiones.</w:t>
              <w:br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2"/>
                <w:szCs w:val="22"/>
                <w:lang w:eastAsia="en-US" w:bidi="ar-SA"/>
              </w:rPr>
              <w:t>Elaborar los distintos gráficos necesarios para el análisis y presentación de la información.</w:t>
              <w:br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2"/>
                <w:szCs w:val="22"/>
                <w:lang w:eastAsia="en-US" w:bidi="ar-SA"/>
              </w:rPr>
              <w:t>Calcular, interpretar y diferenciar las diferentes medidas de tendencia central.</w:t>
              <w:br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2"/>
                <w:szCs w:val="22"/>
                <w:lang w:eastAsia="en-US" w:bidi="ar-SA"/>
              </w:rPr>
              <w:t>Calcular, interpretar y diferenciar las diferentes medidas de dispersión.</w:t>
              <w:br/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/>
                <w:b/>
                <w:color w:val="000000"/>
                <w:sz w:val="20"/>
                <w:szCs w:val="20"/>
              </w:rPr>
            </w:pPr>
            <w:r>
              <w:rPr>
                <w:rFonts w:eastAsia="Calibri" w:cs=""/>
                <w:b/>
                <w:color w:val="000000"/>
                <w:kern w:val="0"/>
                <w:sz w:val="22"/>
                <w:szCs w:val="22"/>
                <w:lang w:eastAsia="en-US" w:bidi="ar-SA"/>
              </w:rPr>
              <w:t>Calcular y analizar las razones de cambio de una variable a través del tiempo</w:t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center"/>
              <w:rPr>
                <w:b/>
                <w:b/>
                <w:color w:val="000000"/>
                <w:sz w:val="20"/>
                <w:szCs w:val="20"/>
                <w:shd w:fill="FFF2CC" w:val="clear"/>
              </w:rPr>
            </w:pPr>
            <w:r>
              <w:rPr>
                <w:rFonts w:eastAsia="Calibri" w:cs=""/>
                <w:b/>
                <w:color w:val="000000"/>
                <w:kern w:val="0"/>
                <w:sz w:val="20"/>
                <w:szCs w:val="20"/>
                <w:shd w:fill="FFF2CC" w:val="clear"/>
                <w:lang w:eastAsia="en-US" w:bidi="ar-SA"/>
              </w:rPr>
              <w:t>METODOLOGÍAS Y ESTRATEGIAS DIDÁCTICAS DE LA ASIGNATURA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Cs/>
                <w:color w:val="000000"/>
                <w:sz w:val="20"/>
                <w:szCs w:val="20"/>
                <w:shd w:fill="FFF2CC" w:val="clear"/>
              </w:rPr>
            </w:pPr>
            <w:r>
              <w:rPr>
                <w:rFonts w:eastAsia="Calibri" w:cs=""/>
                <w:bCs/>
                <w:color w:val="000000"/>
                <w:kern w:val="0"/>
                <w:sz w:val="20"/>
                <w:szCs w:val="20"/>
                <w:shd w:fill="FFF2CC" w:val="clear"/>
                <w:lang w:eastAsia="en-US" w:bidi="ar-SA"/>
              </w:rPr>
              <w:t>Redactar una breve descripción del o los métodos y estrategias que van a favorecer el proceso de aprendizaje del estudiante en la asignatura, según la complejidad de ésta y modalidad del programa.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bCs/>
                <w:color w:val="000000"/>
                <w:sz w:val="20"/>
                <w:szCs w:val="20"/>
                <w:shd w:fill="FFF2CC" w:val="clear"/>
              </w:rPr>
            </w:pPr>
            <w:r>
              <w:rPr>
                <w:bCs/>
                <w:color w:val="000000"/>
                <w:sz w:val="22"/>
                <w:szCs w:val="20"/>
                <w:shd w:fill="FFF2CC" w:val="clear"/>
              </w:rPr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CONTENIDOS TEMÁTICOS DE LA ASIGNATURA</w:t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UNIDAD 1. NOCIONES PRELIMINARES EN ESTADÍSTICA</w:t>
            </w:r>
          </w:p>
        </w:tc>
      </w:tr>
      <w:tr>
        <w:trPr>
          <w:trHeight w:val="126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N° sesión</w:t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Fecha</w:t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Contenido por desarrollar</w:t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Descripción del trabajo presencial</w:t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Descripción trabajo independiente</w:t>
            </w:r>
          </w:p>
        </w:tc>
      </w:tr>
      <w:tr>
        <w:trPr>
          <w:trHeight w:val="126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eastAsia="en-US" w:bidi="ar-SA"/>
              </w:rPr>
              <w:t>1</w:t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eastAsia="en-US" w:bidi="ar-SA"/>
              </w:rPr>
              <w:t>29-09</w:t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2"/>
                <w:szCs w:val="22"/>
                <w:lang w:eastAsia="en-US" w:bidi="ar-SA"/>
              </w:rPr>
              <w:t>Introducción, micro currículo, concertación de evaluación</w:t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84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30-09</w:t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 w:val="false"/>
                <w:b w:val="false"/>
                <w:bCs w:val="false"/>
                <w:sz w:val="22"/>
                <w:szCs w:val="20"/>
              </w:rPr>
            </w:pPr>
            <w:r>
              <w:rPr>
                <w:rFonts w:cs="Calibri" w:cstheme="minorHAnsi"/>
                <w:b w:val="false"/>
                <w:bCs w:val="false"/>
                <w:sz w:val="22"/>
                <w:szCs w:val="20"/>
              </w:rPr>
              <w:t>Variables y sus características</w:t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84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06-</w:t>
            </w:r>
            <w:r>
              <w:rPr>
                <w:rFonts w:cs="Calibri" w:cstheme="minorHAnsi"/>
                <w:sz w:val="22"/>
                <w:szCs w:val="20"/>
              </w:rPr>
              <w:t>10</w:t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 w:val="false"/>
                <w:b w:val="false"/>
                <w:bCs w:val="false"/>
                <w:sz w:val="22"/>
                <w:szCs w:val="20"/>
              </w:rPr>
            </w:pPr>
            <w:r>
              <w:rPr>
                <w:rFonts w:cs="Calibri" w:cstheme="minorHAnsi"/>
                <w:b w:val="false"/>
                <w:bCs w:val="false"/>
                <w:sz w:val="22"/>
                <w:szCs w:val="20"/>
              </w:rPr>
              <w:t>Construcción de tablas para variables continuas e interpretación detallada de las tablas de frecuencia.</w:t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UNIDAD 2. TABLAS ESTADÍSTICAS</w:t>
            </w:r>
          </w:p>
        </w:tc>
      </w:tr>
      <w:tr>
        <w:trPr>
          <w:trHeight w:val="126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N° sesión</w:t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Fecha</w:t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Contenido por desarrollar</w:t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Descripción del trabajo presencial</w:t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Descripción trabajo independiente</w:t>
            </w:r>
          </w:p>
        </w:tc>
      </w:tr>
      <w:tr>
        <w:trPr>
          <w:trHeight w:val="126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 w:val="false"/>
                <w:b w:val="false"/>
                <w:bCs w:val="false"/>
                <w:sz w:val="22"/>
                <w:szCs w:val="20"/>
              </w:rPr>
            </w:pPr>
            <w:r>
              <w:rPr>
                <w:rFonts w:cs="Calibri" w:cstheme="minorHAnsi"/>
                <w:b w:val="false"/>
                <w:bCs w:val="false"/>
                <w:sz w:val="22"/>
                <w:szCs w:val="20"/>
              </w:rPr>
              <w:t>Construcción de tablas para variables continuas e interpretación detallada de las tablas de frecuencia.</w:t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126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 w:val="false"/>
                <w:b w:val="false"/>
                <w:bCs w:val="false"/>
                <w:sz w:val="22"/>
                <w:szCs w:val="20"/>
              </w:rPr>
            </w:pPr>
            <w:r>
              <w:rPr>
                <w:rFonts w:cs="Calibri" w:cstheme="minorHAnsi"/>
                <w:b w:val="false"/>
                <w:bCs w:val="false"/>
                <w:sz w:val="22"/>
                <w:szCs w:val="20"/>
              </w:rPr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84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2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UNIDAD 3.</w:t>
            </w:r>
          </w:p>
        </w:tc>
      </w:tr>
      <w:tr>
        <w:trPr>
          <w:trHeight w:val="126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N° sesión</w:t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Fecha</w:t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Contenido por desarrollar</w:t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Descripción del trabajo presencial</w:t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Descripción trabajo independiente</w:t>
            </w:r>
          </w:p>
        </w:tc>
      </w:tr>
      <w:tr>
        <w:trPr>
          <w:trHeight w:val="126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b w:val="false"/>
                <w:bCs w:val="false"/>
                <w:sz w:val="22"/>
                <w:szCs w:val="20"/>
              </w:rPr>
              <w:t>Medidas de tendencia central y de posición (media, mediana, moda, cuartiles).</w:t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126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2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Medidas de dispersión y Gráficos pertinentes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Coeficientes de: Variación, asimetría y Kurtosis</w:t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84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UNIDAD 4.</w:t>
            </w:r>
          </w:p>
        </w:tc>
      </w:tr>
      <w:tr>
        <w:trPr>
          <w:trHeight w:val="126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N° sesión</w:t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Fecha</w:t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Contenido por desarrollar</w:t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Descripción del trabajo presencial</w:t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Descripción trabajo independiente</w:t>
            </w:r>
          </w:p>
        </w:tc>
      </w:tr>
      <w:tr>
        <w:trPr>
          <w:trHeight w:val="126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Diagrama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de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dispersión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y Ecuación de Regresión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Coeficiente de Correlación y Determinación</w:t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84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84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UNIDAD 5.</w:t>
            </w:r>
          </w:p>
        </w:tc>
      </w:tr>
      <w:tr>
        <w:trPr>
          <w:trHeight w:val="126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N° sesión</w:t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Fecha</w:t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Contenido por desarrollar</w:t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Descripción del trabajo presencial</w:t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 xml:space="preserve"> </w:t>
            </w: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Descripción trabajo independiente</w:t>
            </w:r>
          </w:p>
        </w:tc>
      </w:tr>
      <w:tr>
        <w:trPr>
          <w:trHeight w:val="126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Teoría de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conjuntos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y Conceptos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Básicos de probabilidades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Propiedades y Axiomas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Técnicas de conteo</w:t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84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2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Función de Prob. Discreta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2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Probabilidad total y Bayes</w:t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84" w:hRule="atLeast"/>
        </w:trPr>
        <w:tc>
          <w:tcPr>
            <w:tcW w:w="114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770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3143" w:type="dxa"/>
            <w:gridSpan w:val="3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2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Distribución Binomial y binomial negativa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2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Distribuc. Geometríca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2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Distribuc. Hipergeométrica y Poisson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2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Distribución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2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Normal y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2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  <w:t>aproximaciones de distribuciones discretas a la distr. Normal</w:t>
            </w:r>
          </w:p>
        </w:tc>
        <w:tc>
          <w:tcPr>
            <w:tcW w:w="2589" w:type="dxa"/>
            <w:gridSpan w:val="6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442" w:type="dxa"/>
            <w:gridSpan w:val="7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84" w:hRule="atLeast"/>
        </w:trPr>
        <w:tc>
          <w:tcPr>
            <w:tcW w:w="10091" w:type="dxa"/>
            <w:gridSpan w:val="19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  <w:t>Unidad 6</w:t>
            </w:r>
          </w:p>
        </w:tc>
      </w:tr>
      <w:tr>
        <w:trPr>
          <w:trHeight w:val="84" w:hRule="atLeast"/>
        </w:trPr>
        <w:tc>
          <w:tcPr>
            <w:tcW w:w="1147" w:type="dxa"/>
            <w:tcBorders>
              <w:top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0"/>
                <w:szCs w:val="20"/>
              </w:rPr>
            </w:r>
          </w:p>
        </w:tc>
        <w:tc>
          <w:tcPr>
            <w:tcW w:w="770" w:type="dxa"/>
            <w:gridSpan w:val="2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3143" w:type="dxa"/>
            <w:gridSpan w:val="3"/>
            <w:tcBorders>
              <w:top w:val="nil"/>
            </w:tcBorders>
          </w:tcPr>
          <w:p>
            <w:pPr>
              <w:pStyle w:val="Normal"/>
              <w:rPr/>
            </w:pPr>
            <w:r>
              <w:rPr/>
              <w:t>Conceptos e importancia del Muestreo, técnicas de muestreo.</w:t>
              <w:br/>
              <w:br/>
              <w:t>Tamaño de</w:t>
            </w:r>
          </w:p>
          <w:p>
            <w:pPr>
              <w:pStyle w:val="Normal"/>
              <w:rPr/>
            </w:pPr>
            <w:r>
              <w:rPr/>
              <w:t>Muestra por proporción.</w:t>
            </w:r>
          </w:p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  <w:t>Tamaño de muestra variable cuantitativa</w:t>
            </w:r>
          </w:p>
        </w:tc>
        <w:tc>
          <w:tcPr>
            <w:tcW w:w="2589" w:type="dxa"/>
            <w:gridSpan w:val="6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  <w:tc>
          <w:tcPr>
            <w:tcW w:w="2442" w:type="dxa"/>
            <w:gridSpan w:val="7"/>
            <w:tcBorders>
              <w:top w:val="nil"/>
            </w:tcBorders>
          </w:tcPr>
          <w:p>
            <w:pPr>
              <w:pStyle w:val="Normal"/>
              <w:widowControl/>
              <w:suppressAutoHyphens w:val="true"/>
              <w:bidi w:val="0"/>
              <w:spacing w:lineRule="auto" w:line="259" w:before="0" w:after="16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AMBIENTES DE APRENDIZAJE DE LA ASIGNATURA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 w:cstheme="minorHAnsi"/>
                <w:bCs/>
                <w:sz w:val="20"/>
                <w:szCs w:val="20"/>
              </w:rPr>
            </w:pPr>
            <w:r>
              <w:rPr>
                <w:rFonts w:eastAsia="Calibri" w:cs="Calibri" w:cstheme="minorHAnsi"/>
                <w:bCs/>
                <w:kern w:val="0"/>
                <w:sz w:val="20"/>
                <w:szCs w:val="20"/>
                <w:lang w:eastAsia="en-US" w:bidi="ar-SA"/>
              </w:rPr>
              <w:t>Describir los Ambientes de Aprendizaje necesarios para el desarrollo del contenido y el logro de los Resultados de Aprendizaje, en coherencia con los establecido para el programa en el PEP. Incluir si se requiere de laboratorios, salidas pedagógicas, prácticas extramurales.</w:t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MEDIOS EDUCATIVOS PARA LA ASIGNATURA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Cs/>
                <w:sz w:val="20"/>
                <w:szCs w:val="20"/>
              </w:rPr>
            </w:pPr>
            <w:r>
              <w:rPr>
                <w:rFonts w:eastAsia="Calibri" w:cs="Calibri" w:cstheme="minorHAnsi"/>
                <w:bCs/>
                <w:kern w:val="0"/>
                <w:sz w:val="20"/>
                <w:szCs w:val="20"/>
                <w:lang w:eastAsia="en-US" w:bidi="ar-SA"/>
              </w:rPr>
              <w:t>Establecer los medios educativos necesarios para el desarrollo de la asignatura definiéndose claramente las ayudas educativas, aulas, implementación deportiva e infraestructura tecnológica necesaria para el logro de los Resultados de Aprendizaje.</w:t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REFERENCIAS BIBLIOGRÁFICAS</w:t>
            </w:r>
          </w:p>
        </w:tc>
      </w:tr>
      <w:tr>
        <w:trPr/>
        <w:tc>
          <w:tcPr>
            <w:tcW w:w="10091" w:type="dxa"/>
            <w:gridSpan w:val="19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 xml:space="preserve">Las define el docente, tomando como referencia inicial la bibliografía recomendada en la </w:t>
            </w:r>
            <w:r>
              <w:rPr>
                <w:rFonts w:eastAsia="Calibri" w:cs="Calibri" w:cstheme="minorHAnsi"/>
                <w:b/>
                <w:bCs/>
                <w:i/>
                <w:iCs/>
                <w:color w:val="000000" w:themeColor="text1"/>
                <w:kern w:val="0"/>
                <w:sz w:val="20"/>
                <w:szCs w:val="20"/>
                <w:lang w:eastAsia="en-US" w:bidi="ar-SA"/>
              </w:rPr>
              <w:t xml:space="preserve">Guía de Programa de Asignatura. </w:t>
            </w:r>
            <w:r>
              <w:rPr>
                <w:rFonts w:eastAsia="Calibri" w:cs="Calibri" w:cstheme="minorHAnsi"/>
                <w:color w:val="000000" w:themeColor="text1"/>
                <w:kern w:val="0"/>
                <w:sz w:val="20"/>
                <w:szCs w:val="20"/>
                <w:lang w:eastAsia="en-US" w:bidi="ar-SA"/>
              </w:rPr>
              <w:t>Si se va a adicionar una referencia nueva, se debe seguir la norma establecida en la Guía de Programa. Considerar las publicación de artículos y contenidos de los últimos 5 años y en segunda lengua.</w:t>
            </w:r>
          </w:p>
        </w:tc>
      </w:tr>
      <w:tr>
        <w:trPr/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EVALUACIÓN DE LA ASIGNATURA</w:t>
            </w:r>
          </w:p>
        </w:tc>
      </w:tr>
      <w:tr>
        <w:trPr/>
        <w:tc>
          <w:tcPr>
            <w:tcW w:w="1384" w:type="dxa"/>
            <w:gridSpan w:val="2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cs="Calibri" w:cstheme="minorHAnsi"/>
                <w:b/>
                <w:sz w:val="22"/>
                <w:szCs w:val="20"/>
              </w:rPr>
            </w:r>
          </w:p>
        </w:tc>
        <w:tc>
          <w:tcPr>
            <w:tcW w:w="5954" w:type="dxa"/>
            <w:gridSpan w:val="9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ASIGNATURA:</w:t>
            </w:r>
          </w:p>
        </w:tc>
        <w:tc>
          <w:tcPr>
            <w:tcW w:w="1175" w:type="dxa"/>
            <w:gridSpan w:val="4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GRUPO:</w:t>
            </w:r>
          </w:p>
        </w:tc>
        <w:tc>
          <w:tcPr>
            <w:tcW w:w="1578" w:type="dxa"/>
            <w:gridSpan w:val="4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cs="Calibri" w:cstheme="minorHAnsi"/>
                <w:b/>
                <w:sz w:val="22"/>
                <w:szCs w:val="20"/>
              </w:rPr>
            </w:r>
          </w:p>
        </w:tc>
      </w:tr>
      <w:tr>
        <w:trPr>
          <w:trHeight w:val="63" w:hRule="atLeast"/>
        </w:trPr>
        <w:tc>
          <w:tcPr>
            <w:tcW w:w="1384" w:type="dxa"/>
            <w:gridSpan w:val="2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TIPO DE EVALUACIÓN°</w:t>
            </w:r>
          </w:p>
        </w:tc>
        <w:tc>
          <w:tcPr>
            <w:tcW w:w="5954" w:type="dxa"/>
            <w:gridSpan w:val="9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PROCEDIMIENTO DE EVALUACIÓN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>(Descripción de la actividad evaluativa)</w:t>
            </w:r>
          </w:p>
        </w:tc>
        <w:tc>
          <w:tcPr>
            <w:tcW w:w="1175" w:type="dxa"/>
            <w:gridSpan w:val="4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VALOR (%)</w:t>
            </w:r>
          </w:p>
        </w:tc>
        <w:tc>
          <w:tcPr>
            <w:tcW w:w="1578" w:type="dxa"/>
            <w:gridSpan w:val="4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FECHA DE REALIZACIÓN</w:t>
            </w:r>
          </w:p>
        </w:tc>
      </w:tr>
      <w:tr>
        <w:trPr>
          <w:trHeight w:val="63" w:hRule="atLeast"/>
        </w:trPr>
        <w:tc>
          <w:tcPr>
            <w:tcW w:w="138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5954" w:type="dxa"/>
            <w:gridSpan w:val="9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1175" w:type="dxa"/>
            <w:gridSpan w:val="4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1578" w:type="dxa"/>
            <w:gridSpan w:val="4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63" w:hRule="atLeast"/>
        </w:trPr>
        <w:tc>
          <w:tcPr>
            <w:tcW w:w="138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5954" w:type="dxa"/>
            <w:gridSpan w:val="9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1175" w:type="dxa"/>
            <w:gridSpan w:val="4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1578" w:type="dxa"/>
            <w:gridSpan w:val="4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63" w:hRule="atLeast"/>
        </w:trPr>
        <w:tc>
          <w:tcPr>
            <w:tcW w:w="138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5954" w:type="dxa"/>
            <w:gridSpan w:val="9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1175" w:type="dxa"/>
            <w:gridSpan w:val="4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1578" w:type="dxa"/>
            <w:gridSpan w:val="4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63" w:hRule="atLeast"/>
        </w:trPr>
        <w:tc>
          <w:tcPr>
            <w:tcW w:w="138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5954" w:type="dxa"/>
            <w:gridSpan w:val="9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1175" w:type="dxa"/>
            <w:gridSpan w:val="4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1578" w:type="dxa"/>
            <w:gridSpan w:val="4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63" w:hRule="atLeast"/>
        </w:trPr>
        <w:tc>
          <w:tcPr>
            <w:tcW w:w="138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5954" w:type="dxa"/>
            <w:gridSpan w:val="9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1175" w:type="dxa"/>
            <w:gridSpan w:val="4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1578" w:type="dxa"/>
            <w:gridSpan w:val="4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63" w:hRule="atLeast"/>
        </w:trPr>
        <w:tc>
          <w:tcPr>
            <w:tcW w:w="1384" w:type="dxa"/>
            <w:gridSpan w:val="2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5954" w:type="dxa"/>
            <w:gridSpan w:val="9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1175" w:type="dxa"/>
            <w:gridSpan w:val="4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1578" w:type="dxa"/>
            <w:gridSpan w:val="4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63" w:hRule="atLeast"/>
        </w:trPr>
        <w:tc>
          <w:tcPr>
            <w:tcW w:w="10091" w:type="dxa"/>
            <w:gridSpan w:val="19"/>
            <w:tcBorders/>
            <w:shd w:color="auto" w:fill="FFF2CC" w:themeFill="accent4" w:themeFillTint="33" w:val="clear"/>
          </w:tcPr>
          <w:p>
            <w:pPr>
              <w:pStyle w:val="ListParagraph"/>
              <w:widowControl w:val="false"/>
              <w:numPr>
                <w:ilvl w:val="0"/>
                <w:numId w:val="1"/>
              </w:numPr>
              <w:suppressAutoHyphens w:val="true"/>
              <w:spacing w:lineRule="auto" w:line="240" w:before="0" w:after="0"/>
              <w:contextualSpacing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EVIDENCIA DE PRESENTACIÓN DE LA GUÍA Y CONCERTACIÓN DE EVALUACIÓN AL GRUPO DE ESTUDIANTES</w:t>
            </w:r>
          </w:p>
        </w:tc>
      </w:tr>
      <w:tr>
        <w:trPr>
          <w:trHeight w:val="63" w:hRule="atLeast"/>
        </w:trPr>
        <w:tc>
          <w:tcPr>
            <w:tcW w:w="10091" w:type="dxa"/>
            <w:gridSpan w:val="19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 xml:space="preserve">Se deja constancia de socialización de la </w:t>
            </w:r>
            <w:r>
              <w:rPr>
                <w:rFonts w:eastAsia="Calibri" w:cs="Calibri" w:cstheme="minorHAnsi"/>
                <w:b/>
                <w:bCs/>
                <w:i/>
                <w:iCs/>
                <w:kern w:val="0"/>
                <w:sz w:val="20"/>
                <w:szCs w:val="20"/>
                <w:lang w:eastAsia="en-US" w:bidi="ar-SA"/>
              </w:rPr>
              <w:t>Guía Didáctica de Asignatura</w:t>
            </w: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 xml:space="preserve"> y aprobación de la concertación de evaluación según el reglamento estudiantil; para ello firman tres estudiantes en representación del grupo:</w:t>
            </w:r>
          </w:p>
        </w:tc>
      </w:tr>
      <w:tr>
        <w:trPr>
          <w:trHeight w:val="42" w:hRule="atLeast"/>
        </w:trPr>
        <w:tc>
          <w:tcPr>
            <w:tcW w:w="4424" w:type="dxa"/>
            <w:gridSpan w:val="5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Nombre de los estudiantes</w:t>
            </w:r>
          </w:p>
        </w:tc>
        <w:tc>
          <w:tcPr>
            <w:tcW w:w="2594" w:type="dxa"/>
            <w:gridSpan w:val="5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N° de cédula o carné estudiantil</w:t>
            </w:r>
          </w:p>
        </w:tc>
        <w:tc>
          <w:tcPr>
            <w:tcW w:w="3073" w:type="dxa"/>
            <w:gridSpan w:val="9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Firma</w:t>
            </w:r>
          </w:p>
        </w:tc>
      </w:tr>
      <w:tr>
        <w:trPr>
          <w:trHeight w:val="42" w:hRule="atLeast"/>
        </w:trPr>
        <w:tc>
          <w:tcPr>
            <w:tcW w:w="4424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ascii="Tahoma" w:hAnsi="Tahoma" w:cstheme="minorHAns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6"/>
                <w:szCs w:val="22"/>
                <w:u w:val="none"/>
                <w:em w:val="none"/>
                <w:lang w:eastAsia="en-US" w:bidi="ar-SA"/>
              </w:rPr>
              <w:t>JOSEPH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594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ascii="Tahoma" w:hAnsi="Tahoma" w:cstheme="minorHAns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6"/>
                <w:szCs w:val="22"/>
                <w:u w:val="none"/>
                <w:em w:val="none"/>
                <w:lang w:eastAsia="en-US" w:bidi="ar-SA"/>
              </w:rPr>
              <w:t>1033488911</w:t>
            </w:r>
          </w:p>
        </w:tc>
        <w:tc>
          <w:tcPr>
            <w:tcW w:w="3073" w:type="dxa"/>
            <w:gridSpan w:val="9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42" w:hRule="atLeast"/>
        </w:trPr>
        <w:tc>
          <w:tcPr>
            <w:tcW w:w="4424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ascii="Tahoma" w:hAnsi="Tahoma" w:cstheme="minorHAns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6"/>
                <w:szCs w:val="22"/>
                <w:u w:val="none"/>
                <w:em w:val="none"/>
                <w:lang w:eastAsia="en-US" w:bidi="ar-SA"/>
              </w:rPr>
              <w:t>JOSE JULIAN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594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ascii="Tahoma" w:hAnsi="Tahoma" w:cstheme="minorHAns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6"/>
                <w:szCs w:val="22"/>
                <w:u w:val="none"/>
                <w:em w:val="none"/>
                <w:lang w:eastAsia="en-US" w:bidi="ar-SA"/>
              </w:rPr>
              <w:t>71216083</w:t>
            </w:r>
          </w:p>
        </w:tc>
        <w:tc>
          <w:tcPr>
            <w:tcW w:w="3073" w:type="dxa"/>
            <w:gridSpan w:val="9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42" w:hRule="atLeast"/>
        </w:trPr>
        <w:tc>
          <w:tcPr>
            <w:tcW w:w="4424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ascii="Tahoma" w:hAnsi="Tahoma" w:cstheme="minorHAns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6"/>
                <w:szCs w:val="22"/>
                <w:u w:val="none"/>
                <w:em w:val="none"/>
                <w:lang w:eastAsia="en-US" w:bidi="ar-SA"/>
              </w:rPr>
              <w:t>EDWIN FERNANDO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594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bidi w:val="0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ascii="Tahoma" w:hAnsi="Tahoma" w:cstheme="minorHAnsi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16"/>
                <w:szCs w:val="22"/>
                <w:u w:val="none"/>
                <w:em w:val="none"/>
                <w:lang w:eastAsia="en-US" w:bidi="ar-SA"/>
              </w:rPr>
              <w:t>8103197</w:t>
            </w:r>
          </w:p>
        </w:tc>
        <w:tc>
          <w:tcPr>
            <w:tcW w:w="3073" w:type="dxa"/>
            <w:gridSpan w:val="9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42" w:hRule="atLeast"/>
        </w:trPr>
        <w:tc>
          <w:tcPr>
            <w:tcW w:w="4424" w:type="dxa"/>
            <w:gridSpan w:val="5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Nombre del docente del curso</w:t>
            </w:r>
          </w:p>
        </w:tc>
        <w:tc>
          <w:tcPr>
            <w:tcW w:w="2594" w:type="dxa"/>
            <w:gridSpan w:val="5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Cédula</w:t>
            </w:r>
          </w:p>
        </w:tc>
        <w:tc>
          <w:tcPr>
            <w:tcW w:w="3073" w:type="dxa"/>
            <w:gridSpan w:val="9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Firma</w:t>
            </w:r>
          </w:p>
        </w:tc>
      </w:tr>
      <w:tr>
        <w:trPr>
          <w:trHeight w:val="42" w:hRule="atLeast"/>
        </w:trPr>
        <w:tc>
          <w:tcPr>
            <w:tcW w:w="4424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2594" w:type="dxa"/>
            <w:gridSpan w:val="5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  <w:tc>
          <w:tcPr>
            <w:tcW w:w="3073" w:type="dxa"/>
            <w:gridSpan w:val="9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sz w:val="20"/>
                <w:szCs w:val="20"/>
              </w:rPr>
            </w:pPr>
            <w:r>
              <w:rPr>
                <w:rFonts w:cs="Calibri" w:cstheme="minorHAnsi"/>
                <w:sz w:val="22"/>
                <w:szCs w:val="20"/>
              </w:rPr>
            </w:r>
          </w:p>
        </w:tc>
      </w:tr>
      <w:tr>
        <w:trPr>
          <w:trHeight w:val="42" w:hRule="atLeast"/>
        </w:trPr>
        <w:tc>
          <w:tcPr>
            <w:tcW w:w="10091" w:type="dxa"/>
            <w:gridSpan w:val="19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Calibri" w:cstheme="minorHAnsi"/>
                <w:b/>
                <w:b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Fecha de socialización de la Guía Didáctica:</w:t>
            </w:r>
          </w:p>
        </w:tc>
      </w:tr>
      <w:tr>
        <w:trPr>
          <w:trHeight w:val="42" w:hRule="atLeast"/>
        </w:trPr>
        <w:tc>
          <w:tcPr>
            <w:tcW w:w="10091" w:type="dxa"/>
            <w:gridSpan w:val="19"/>
            <w:tcBorders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both"/>
              <w:rPr>
                <w:rFonts w:cs="Calibri" w:cstheme="minorHAnsi"/>
                <w:sz w:val="20"/>
                <w:szCs w:val="20"/>
              </w:rPr>
            </w:pPr>
            <w:r>
              <w:rPr>
                <w:rFonts w:eastAsia="Calibri" w:cs="Calibri" w:cstheme="minorHAnsi"/>
                <w:b/>
                <w:kern w:val="0"/>
                <w:sz w:val="20"/>
                <w:szCs w:val="20"/>
                <w:lang w:eastAsia="en-US" w:bidi="ar-SA"/>
              </w:rPr>
              <w:t>Nota:</w:t>
            </w:r>
            <w:r>
              <w:rPr>
                <w:rFonts w:eastAsia="Calibri" w:cs="Calibri" w:cstheme="minorHAnsi"/>
                <w:kern w:val="0"/>
                <w:sz w:val="20"/>
                <w:szCs w:val="20"/>
                <w:lang w:eastAsia="en-US" w:bidi="ar-SA"/>
              </w:rPr>
              <w:t xml:space="preserve"> El docente se compromete a devolver las evaluaciones, socializar la calificación con los estudiantes y a ingresar dicha calificación al sistema académico, correcta y oportunamente.</w:t>
            </w:r>
          </w:p>
        </w:tc>
      </w:tr>
    </w:tbl>
    <w:tbl>
      <w:tblPr>
        <w:tblStyle w:val="Tablaconcuadrcula"/>
        <w:tblpPr w:bottomFromText="0" w:horzAnchor="margin" w:leftFromText="141" w:rightFromText="141" w:tblpX="0" w:tblpY="388" w:topFromText="0" w:vertAnchor="text"/>
        <w:tblW w:w="1006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842"/>
        <w:gridCol w:w="5224"/>
      </w:tblGrid>
      <w:tr>
        <w:trPr>
          <w:trHeight w:val="443" w:hRule="atLeast"/>
        </w:trPr>
        <w:tc>
          <w:tcPr>
            <w:tcW w:w="10066" w:type="dxa"/>
            <w:gridSpan w:val="2"/>
            <w:tcBorders/>
            <w:shd w:color="auto" w:fill="FFF2CC" w:themeFill="accent4" w:themeFillTint="33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rial Unicode MS" w:cs="Arial"/>
                <w:b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Arial Unicode MS" w:cs="Arial" w:ascii="Arial" w:hAnsi="Arial"/>
                <w:b/>
                <w:bCs/>
                <w:color w:val="000000" w:themeColor="text1"/>
                <w:sz w:val="22"/>
                <w:szCs w:val="16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center"/>
              <w:rPr>
                <w:rFonts w:ascii="Arial" w:hAnsi="Arial" w:eastAsia="Arial Unicode MS" w:cs="Arial"/>
                <w:b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cs="Calibri" w:cstheme="minorHAnsi"/>
                <w:b/>
                <w:kern w:val="0"/>
                <w:sz w:val="20"/>
                <w:szCs w:val="20"/>
                <w:lang w:eastAsia="en-US" w:bidi="ar-SA"/>
              </w:rPr>
              <w:t>CONTROL DE CAMBIOS Y VIGENCIA (DILIGENCIAR LOS DATOS ESPECÍFICOS)</w:t>
            </w:r>
          </w:p>
        </w:tc>
      </w:tr>
      <w:tr>
        <w:trPr>
          <w:trHeight w:val="556" w:hRule="atLeast"/>
        </w:trPr>
        <w:tc>
          <w:tcPr>
            <w:tcW w:w="4842" w:type="dxa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 Unicode MS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Arial Unicode MS" w:cs="Arial" w:ascii="Arial" w:hAnsi="Arial"/>
                <w:bCs/>
                <w:color w:val="000000" w:themeColor="text1"/>
                <w:kern w:val="0"/>
                <w:sz w:val="16"/>
                <w:szCs w:val="16"/>
                <w:lang w:eastAsia="en-US" w:bidi="ar-SA"/>
              </w:rPr>
              <w:t>Fecha de Revisión por parte del Coordinador de Área: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 Unicode MS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Arial Unicode MS" w:cs="Arial" w:ascii="Arial" w:hAnsi="Arial"/>
                <w:bCs/>
                <w:color w:val="000000" w:themeColor="text1"/>
                <w:sz w:val="22"/>
                <w:szCs w:val="16"/>
              </w:rPr>
            </w:r>
          </w:p>
        </w:tc>
        <w:tc>
          <w:tcPr>
            <w:tcW w:w="5224" w:type="dxa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 Unicode MS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Arial Unicode MS" w:cs="Arial" w:ascii="Arial" w:hAnsi="Arial"/>
                <w:bCs/>
                <w:color w:val="000000" w:themeColor="text1"/>
                <w:sz w:val="22"/>
                <w:szCs w:val="16"/>
              </w:rPr>
            </w:r>
          </w:p>
        </w:tc>
      </w:tr>
      <w:tr>
        <w:trPr>
          <w:trHeight w:val="556" w:hRule="atLeast"/>
        </w:trPr>
        <w:tc>
          <w:tcPr>
            <w:tcW w:w="4842" w:type="dxa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 Unicode MS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Arial Unicode MS" w:cs="Arial" w:ascii="Arial" w:hAnsi="Arial"/>
                <w:bCs/>
                <w:color w:val="000000" w:themeColor="text1"/>
                <w:kern w:val="0"/>
                <w:sz w:val="16"/>
                <w:szCs w:val="16"/>
                <w:lang w:eastAsia="en-US" w:bidi="ar-SA"/>
              </w:rPr>
              <w:t>Fecha de aprobación y acta de sesión del Comité de currículo del programa: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 Unicode MS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Arial Unicode MS" w:cs="Arial" w:ascii="Arial" w:hAnsi="Arial"/>
                <w:bCs/>
                <w:color w:val="000000" w:themeColor="text1"/>
                <w:sz w:val="22"/>
                <w:szCs w:val="16"/>
              </w:rPr>
            </w:r>
          </w:p>
        </w:tc>
        <w:tc>
          <w:tcPr>
            <w:tcW w:w="5224" w:type="dxa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 Unicode MS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Arial Unicode MS" w:cs="Arial" w:ascii="Arial" w:hAnsi="Arial"/>
                <w:bCs/>
                <w:color w:val="000000" w:themeColor="text1"/>
                <w:sz w:val="22"/>
                <w:szCs w:val="16"/>
              </w:rPr>
            </w:r>
          </w:p>
        </w:tc>
      </w:tr>
      <w:tr>
        <w:trPr>
          <w:trHeight w:val="556" w:hRule="atLeast"/>
        </w:trPr>
        <w:tc>
          <w:tcPr>
            <w:tcW w:w="4842" w:type="dxa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 Unicode MS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Arial Unicode MS" w:cs="Arial" w:ascii="Arial" w:hAnsi="Arial"/>
                <w:bCs/>
                <w:color w:val="000000" w:themeColor="text1"/>
                <w:sz w:val="22"/>
                <w:szCs w:val="16"/>
              </w:rPr>
            </w:r>
          </w:p>
        </w:tc>
        <w:tc>
          <w:tcPr>
            <w:tcW w:w="5224" w:type="dxa"/>
            <w:tcBorders/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Arial" w:hAnsi="Arial" w:eastAsia="Arial Unicode MS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eastAsia="Arial Unicode MS" w:cs="Arial" w:ascii="Arial" w:hAnsi="Arial"/>
                <w:bCs/>
                <w:color w:val="000000" w:themeColor="text1"/>
                <w:sz w:val="22"/>
                <w:szCs w:val="16"/>
              </w:rPr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360" w:before="0" w:after="160"/>
        <w:jc w:val="both"/>
        <w:rPr>
          <w:rFonts w:ascii="Times New Roman" w:hAnsi="Times New Roman" w:cs="Times New Roman"/>
          <w:sz w:val="24"/>
          <w:szCs w:val="24"/>
          <w:highlight w:val="green"/>
        </w:rPr>
      </w:pPr>
      <w:r>
        <w:rPr/>
      </w:r>
    </w:p>
    <w:sectPr>
      <w:footerReference w:type="default" r:id="rId3"/>
      <w:type w:val="nextPage"/>
      <w:pgSz w:w="12240" w:h="15840"/>
      <w:pgMar w:left="1134" w:right="1134" w:gutter="0" w:header="0" w:top="1134" w:footer="709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ahom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rPr/>
    </w:pPr>
    <w:r>
      <w:rPr/>
      <w:drawing>
        <wp:anchor behindDoc="0" distT="0" distB="0" distL="114300" distR="114300" simplePos="0" locked="0" layoutInCell="0" allowOverlap="1" relativeHeight="5">
          <wp:simplePos x="0" y="0"/>
          <wp:positionH relativeFrom="page">
            <wp:posOffset>6657975</wp:posOffset>
          </wp:positionH>
          <wp:positionV relativeFrom="paragraph">
            <wp:posOffset>-112395</wp:posOffset>
          </wp:positionV>
          <wp:extent cx="952500" cy="662940"/>
          <wp:effectExtent l="0" t="0" r="0" b="0"/>
          <wp:wrapThrough wrapText="bothSides">
            <wp:wrapPolygon edited="0">
              <wp:start x="-13" y="0"/>
              <wp:lineTo x="-13" y="21097"/>
              <wp:lineTo x="21154" y="21097"/>
              <wp:lineTo x="21154" y="0"/>
              <wp:lineTo x="-13" y="0"/>
            </wp:wrapPolygon>
          </wp:wrapThrough>
          <wp:docPr id="2" name="Imagen 2" descr="C:\Users\Swanlly\AppData\Local\Packages\5319275A.WhatsAppDesktop_cv1g1gvanyjgm\TempState\0DA0BF7136DF5A5DD7C0C95173895D74\Imagen de WhatsApp 2025-01-30 a las 10.15.36_a4a837b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C:\Users\Swanlly\AppData\Local\Packages\5319275A.WhatsAppDesktop_cv1g1gvanyjgm\TempState\0DA0BF7136DF5A5DD7C0C95173895D74\Imagen de WhatsApp 2025-01-30 a las 10.15.36_a4a837b5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30449" b="0"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080" w:hanging="720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1440" w:hanging="1080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1440" w:hanging="1080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1800" w:hanging="144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2160" w:hanging="180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c2423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O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513dd3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Annotationtext"/>
    <w:uiPriority w:val="99"/>
    <w:semiHidden/>
    <w:qFormat/>
    <w:rsid w:val="00513dd3"/>
    <w:rPr>
      <w:sz w:val="20"/>
      <w:szCs w:val="20"/>
      <w:lang w:val="es-CO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513dd3"/>
    <w:rPr>
      <w:b/>
      <w:bCs/>
      <w:sz w:val="20"/>
      <w:szCs w:val="20"/>
      <w:lang w:val="es-CO"/>
    </w:rPr>
  </w:style>
  <w:style w:type="character" w:styleId="TtuloCar" w:customStyle="1">
    <w:name w:val="Título Car"/>
    <w:basedOn w:val="DefaultParagraphFont"/>
    <w:uiPriority w:val="10"/>
    <w:qFormat/>
    <w:rsid w:val="005b7c12"/>
    <w:rPr>
      <w:rFonts w:ascii="Calibri" w:hAnsi="Calibri" w:eastAsia="Calibri" w:cs="Calibri"/>
      <w:b/>
      <w:sz w:val="72"/>
      <w:szCs w:val="72"/>
      <w:lang w:val="es-CO" w:eastAsia="es-ES_tradnl"/>
    </w:rPr>
  </w:style>
  <w:style w:type="character" w:styleId="EncabezadoCar" w:customStyle="1">
    <w:name w:val="Encabezado Car"/>
    <w:basedOn w:val="DefaultParagraphFont"/>
    <w:uiPriority w:val="99"/>
    <w:qFormat/>
    <w:rsid w:val="00496615"/>
    <w:rPr>
      <w:lang w:val="es-CO"/>
    </w:rPr>
  </w:style>
  <w:style w:type="character" w:styleId="PiedepginaCar" w:customStyle="1">
    <w:name w:val="Pie de página Car"/>
    <w:basedOn w:val="DefaultParagraphFont"/>
    <w:uiPriority w:val="99"/>
    <w:qFormat/>
    <w:rsid w:val="00496615"/>
    <w:rPr>
      <w:lang w:val="es-C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094120"/>
    <w:pPr>
      <w:spacing w:before="0" w:after="160"/>
      <w:ind w:left="720" w:hanging="0"/>
      <w:contextualSpacing/>
    </w:pPr>
    <w:rPr/>
  </w:style>
  <w:style w:type="paragraph" w:styleId="Annotationtext">
    <w:name w:val="annotation text"/>
    <w:basedOn w:val="Normal"/>
    <w:link w:val="TextocomentarioCar"/>
    <w:uiPriority w:val="99"/>
    <w:semiHidden/>
    <w:unhideWhenUsed/>
    <w:qFormat/>
    <w:rsid w:val="00513dd3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untodelcomentarioCar"/>
    <w:uiPriority w:val="99"/>
    <w:semiHidden/>
    <w:unhideWhenUsed/>
    <w:qFormat/>
    <w:rsid w:val="00513dd3"/>
    <w:pPr/>
    <w:rPr>
      <w:b/>
      <w:bCs/>
    </w:rPr>
  </w:style>
  <w:style w:type="paragraph" w:styleId="Ttulogeneral">
    <w:name w:val="Title"/>
    <w:basedOn w:val="Normal"/>
    <w:next w:val="Normal"/>
    <w:link w:val="TtuloCar"/>
    <w:uiPriority w:val="10"/>
    <w:qFormat/>
    <w:rsid w:val="005b7c12"/>
    <w:pPr>
      <w:keepNext w:val="true"/>
      <w:keepLines/>
      <w:spacing w:before="480" w:after="120"/>
    </w:pPr>
    <w:rPr>
      <w:rFonts w:ascii="Calibri" w:hAnsi="Calibri" w:eastAsia="Calibri" w:cs="Calibri"/>
      <w:b/>
      <w:sz w:val="72"/>
      <w:szCs w:val="72"/>
      <w:lang w:eastAsia="es-ES_tradnl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496615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496615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0941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32622C-A0E6-4554-ACB9-9324F19B06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Application>LibreOffice/7.3.7.2$Linux_X86_64 LibreOffice_project/30$Build-2</Application>
  <AppVersion>15.0000</AppVersion>
  <Pages>4</Pages>
  <Words>978</Words>
  <Characters>5962</Characters>
  <CharactersWithSpaces>6784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2025-03-10T15:44:00Z</dcterms:created>
  <dc:creator>SAMSUNG</dc:creator>
  <dc:description/>
  <dc:language>es-CO</dc:language>
  <cp:lastModifiedBy/>
  <dcterms:modified xsi:type="dcterms:W3CDTF">2025-10-14T11:01:53Z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