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VITeats</w:t>
      </w:r>
    </w:p>
    <w:p>
      <w:pPr>
        <w:pStyle w:val="Subtitle"/>
      </w:pPr>
      <w:r>
        <w:t>Usage and Hostel Implementation Guide</w:t>
      </w:r>
    </w:p>
    <w:p>
      <w:r>
        <w:t>For students, mess staff, hostel administrators and IT teams</w:t>
      </w:r>
    </w:p>
    <w:p>
      <w:r>
        <w:t>8 October 2026</w:t>
      </w:r>
    </w:p>
    <w:p>
      <w:pPr>
        <w:pStyle w:val="Heading2"/>
      </w:pPr>
      <w:r>
        <w:t>Purpose</w:t>
      </w:r>
    </w:p>
    <w:p>
      <w:r>
        <w:t>VITeats is an Android client for the existing Proodle meal service. It brings menu browsing, cart checkout, order information, QR display and personal spending views into a student-facing app. This guide explains daily use and proposes a supervised path to broader hostel implementation.</w:t>
      </w:r>
    </w:p>
    <w:p>
      <w:pPr>
        <w:pStyle w:val="Heading2"/>
      </w:pPr>
      <w:r>
        <w:t>Deployment approach</w:t>
      </w:r>
    </w:p>
    <w:p>
      <w:r>
        <w:t>Begin with a controlled pilot after administration, IT and the Proodle service owner approve the integration and acceptance checks. Wider implementation depends on accurate payment records, reliable collection and adequate operational support.</w:t>
      </w:r>
    </w:p>
    <w:p>
      <w:pPr>
        <w:pStyle w:val="Heading2"/>
      </w:pPr>
      <w:r>
        <w:t>Guide map</w:t>
      </w:r>
    </w:p>
    <w:tbl>
      <w:tblPr>
        <w:tblStyle w:val="LightShading-Accent1"/>
        <w:tblW w:type="auto" w:w="0"/>
        <w:tblLayout w:type="fixed"/>
        <w:tblLook w:firstColumn="1" w:firstRow="1" w:lastColumn="0" w:lastRow="0" w:noHBand="0" w:noVBand="1" w:val="04A0"/>
      </w:tblPr>
      <w:tblGrid>
        <w:gridCol w:w="4802"/>
        <w:gridCol w:w="4802"/>
      </w:tblGrid>
      <w:tr>
        <w:trPr>
          <w:tblHeader/>
        </w:trPr>
        <w:tc>
          <w:tcPr>
            <w:tcW w:type="dxa" w:w="864"/>
          </w:tcPr>
          <w:p>
            <w:pPr>
              <w:spacing w:after="100"/>
            </w:pPr>
            <w:r>
              <w:rPr>
                <w:sz w:val="20"/>
              </w:rPr>
              <w:t>Page</w:t>
            </w:r>
          </w:p>
        </w:tc>
        <w:tc>
          <w:tcPr>
            <w:tcW w:type="dxa" w:w="8496"/>
          </w:tcPr>
          <w:p>
            <w:pPr>
              <w:spacing w:after="100"/>
            </w:pPr>
            <w:r>
              <w:rPr>
                <w:sz w:val="20"/>
              </w:rPr>
              <w:t>Topic</w:t>
            </w:r>
          </w:p>
        </w:tc>
      </w:tr>
      <w:tr>
        <w:tc>
          <w:tcPr>
            <w:tcW w:type="dxa" w:w="864"/>
          </w:tcPr>
          <w:p>
            <w:pPr>
              <w:spacing w:after="100"/>
            </w:pPr>
            <w:r>
              <w:rPr>
                <w:sz w:val="20"/>
              </w:rPr>
              <w:t>2</w:t>
            </w:r>
          </w:p>
        </w:tc>
        <w:tc>
          <w:tcPr>
            <w:tcW w:type="dxa" w:w="8496"/>
          </w:tcPr>
          <w:p>
            <w:pPr>
              <w:spacing w:after="100"/>
            </w:pPr>
            <w:r>
              <w:rPr>
                <w:sz w:val="20"/>
              </w:rPr>
              <w:t>Getting started and navigation</w:t>
            </w:r>
          </w:p>
        </w:tc>
      </w:tr>
      <w:tr>
        <w:tc>
          <w:tcPr>
            <w:tcW w:type="dxa" w:w="864"/>
          </w:tcPr>
          <w:p>
            <w:pPr>
              <w:spacing w:after="100"/>
            </w:pPr>
            <w:r>
              <w:rPr>
                <w:sz w:val="20"/>
              </w:rPr>
              <w:t>3</w:t>
            </w:r>
          </w:p>
        </w:tc>
        <w:tc>
          <w:tcPr>
            <w:tcW w:type="dxa" w:w="8496"/>
          </w:tcPr>
          <w:p>
            <w:pPr>
              <w:spacing w:after="100"/>
            </w:pPr>
            <w:r>
              <w:rPr>
                <w:sz w:val="20"/>
              </w:rPr>
              <w:t>Menu browsing and cart management</w:t>
            </w:r>
          </w:p>
        </w:tc>
      </w:tr>
      <w:tr>
        <w:tc>
          <w:tcPr>
            <w:tcW w:type="dxa" w:w="864"/>
          </w:tcPr>
          <w:p>
            <w:pPr>
              <w:spacing w:after="100"/>
            </w:pPr>
            <w:r>
              <w:rPr>
                <w:sz w:val="20"/>
              </w:rPr>
              <w:t>4</w:t>
            </w:r>
          </w:p>
        </w:tc>
        <w:tc>
          <w:tcPr>
            <w:tcW w:type="dxa" w:w="8496"/>
          </w:tcPr>
          <w:p>
            <w:pPr>
              <w:spacing w:after="100"/>
            </w:pPr>
            <w:r>
              <w:rPr>
                <w:sz w:val="20"/>
              </w:rPr>
              <w:t>Payment, order confirmation and collection</w:t>
            </w:r>
          </w:p>
        </w:tc>
      </w:tr>
      <w:tr>
        <w:tc>
          <w:tcPr>
            <w:tcW w:type="dxa" w:w="864"/>
          </w:tcPr>
          <w:p>
            <w:pPr>
              <w:spacing w:after="100"/>
            </w:pPr>
            <w:r>
              <w:rPr>
                <w:sz w:val="20"/>
              </w:rPr>
              <w:t>5</w:t>
            </w:r>
          </w:p>
        </w:tc>
        <w:tc>
          <w:tcPr>
            <w:tcW w:type="dxa" w:w="8496"/>
          </w:tcPr>
          <w:p>
            <w:pPr>
              <w:spacing w:after="100"/>
            </w:pPr>
            <w:r>
              <w:rPr>
                <w:sz w:val="20"/>
              </w:rPr>
              <w:t>Wallet, monthly budget and settings</w:t>
            </w:r>
          </w:p>
        </w:tc>
      </w:tr>
      <w:tr>
        <w:tc>
          <w:tcPr>
            <w:tcW w:type="dxa" w:w="864"/>
          </w:tcPr>
          <w:p>
            <w:pPr>
              <w:spacing w:after="100"/>
            </w:pPr>
            <w:r>
              <w:rPr>
                <w:sz w:val="20"/>
              </w:rPr>
              <w:t>6</w:t>
            </w:r>
          </w:p>
        </w:tc>
        <w:tc>
          <w:tcPr>
            <w:tcW w:type="dxa" w:w="8496"/>
          </w:tcPr>
          <w:p>
            <w:pPr>
              <w:spacing w:after="100"/>
            </w:pPr>
            <w:r>
              <w:rPr>
                <w:sz w:val="20"/>
              </w:rPr>
              <w:t>Troubleshooting and student support</w:t>
            </w:r>
          </w:p>
        </w:tc>
      </w:tr>
      <w:tr>
        <w:tc>
          <w:tcPr>
            <w:tcW w:type="dxa" w:w="864"/>
          </w:tcPr>
          <w:p>
            <w:pPr>
              <w:spacing w:after="100"/>
            </w:pPr>
            <w:r>
              <w:rPr>
                <w:sz w:val="20"/>
              </w:rPr>
              <w:t>7</w:t>
            </w:r>
          </w:p>
        </w:tc>
        <w:tc>
          <w:tcPr>
            <w:tcW w:type="dxa" w:w="8496"/>
          </w:tcPr>
          <w:p>
            <w:pPr>
              <w:spacing w:after="100"/>
            </w:pPr>
            <w:r>
              <w:rPr>
                <w:sz w:val="20"/>
              </w:rPr>
              <w:t>Proposed staff operating procedures</w:t>
            </w:r>
          </w:p>
        </w:tc>
      </w:tr>
      <w:tr>
        <w:tc>
          <w:tcPr>
            <w:tcW w:type="dxa" w:w="864"/>
          </w:tcPr>
          <w:p>
            <w:pPr>
              <w:spacing w:after="100"/>
            </w:pPr>
            <w:r>
              <w:rPr>
                <w:sz w:val="20"/>
              </w:rPr>
              <w:t>8</w:t>
            </w:r>
          </w:p>
        </w:tc>
        <w:tc>
          <w:tcPr>
            <w:tcW w:type="dxa" w:w="8496"/>
          </w:tcPr>
          <w:p>
            <w:pPr>
              <w:spacing w:after="100"/>
            </w:pPr>
            <w:r>
              <w:rPr>
                <w:sz w:val="20"/>
              </w:rPr>
              <w:t>Pilot and phased hostel implementation</w:t>
            </w:r>
          </w:p>
        </w:tc>
      </w:tr>
      <w:tr>
        <w:tc>
          <w:tcPr>
            <w:tcW w:type="dxa" w:w="864"/>
          </w:tcPr>
          <w:p>
            <w:pPr>
              <w:spacing w:after="100"/>
            </w:pPr>
            <w:r>
              <w:rPr>
                <w:sz w:val="20"/>
              </w:rPr>
              <w:t>9</w:t>
            </w:r>
          </w:p>
        </w:tc>
        <w:tc>
          <w:tcPr>
            <w:tcW w:type="dxa" w:w="8496"/>
          </w:tcPr>
          <w:p>
            <w:pPr>
              <w:spacing w:after="100"/>
            </w:pPr>
            <w:r>
              <w:rPr>
                <w:sz w:val="20"/>
              </w:rPr>
              <w:t>Technical readiness and acceptance checklist</w:t>
            </w:r>
          </w:p>
        </w:tc>
      </w:tr>
    </w:tbl>
    <w:p/>
    <w:p>
      <w:r>
        <w:t>Android 7.0 or later is the minimum configured version. Students need connectivity and a valid Proodle account. The current project provides a student app. Staff administration, refunds and counter validation continue through authorised institutional systems.</w:t>
      </w:r>
    </w:p>
    <w:p>
      <w:r>
        <w:br w:type="page"/>
      </w:r>
    </w:p>
    <w:p>
      <w:pPr>
        <w:pStyle w:val="Heading1"/>
      </w:pPr>
      <w:r>
        <w:t>1. Getting started and navigation</w:t>
      </w:r>
    </w:p>
    <w:p>
      <w:pPr>
        <w:pStyle w:val="Heading2"/>
      </w:pPr>
      <w:r>
        <w:t>Before you begin</w:t>
      </w:r>
    </w:p>
    <w:p>
      <w:pPr>
        <w:pStyle w:val="ListBullet"/>
      </w:pPr>
      <w:r>
        <w:t>Use your own Android phone with an internet connection and a valid Proodle application number and PIN.</w:t>
      </w:r>
    </w:p>
    <w:p>
      <w:pPr>
        <w:pStyle w:val="ListBullet"/>
      </w:pPr>
      <w:r>
        <w:t>Obtain the approved app from the channel announced by hostel administration. An official installation link and distribution method must accompany the launch notice.</w:t>
      </w:r>
    </w:p>
    <w:p>
      <w:pPr>
        <w:pStyle w:val="ListBullet"/>
      </w:pPr>
      <w:r>
        <w:t>Keep your PIN private. Counter staff and support personnel should never ask you to share it.</w:t>
      </w:r>
    </w:p>
    <w:p>
      <w:pPr>
        <w:pStyle w:val="Heading2"/>
      </w:pPr>
      <w:r>
        <w:t>Installation for an approved pilot</w:t>
      </w:r>
    </w:p>
    <w:p>
      <w:r>
        <w:rPr>
          <w:b/>
        </w:rPr>
        <w:t xml:space="preserve">1. </w:t>
      </w:r>
      <w:r>
        <w:t>Download the signed release only from the authorised distribution channel.</w:t>
      </w:r>
    </w:p>
    <w:p>
      <w:r>
        <w:rPr>
          <w:b/>
        </w:rPr>
        <w:t xml:space="preserve">2. </w:t>
      </w:r>
      <w:r>
        <w:t>If the institution distributes an APK, follow its installation instructions and confirm the source. Avoid forwarded or modified packages.</w:t>
      </w:r>
    </w:p>
    <w:p>
      <w:r>
        <w:rPr>
          <w:b/>
        </w:rPr>
        <w:t xml:space="preserve">3. </w:t>
      </w:r>
      <w:r>
        <w:t>Open VITeats. Ensure the app can reach the network before signing in.</w:t>
      </w:r>
    </w:p>
    <w:p>
      <w:pPr>
        <w:pStyle w:val="Heading2"/>
      </w:pPr>
      <w:r>
        <w:t>Sign in</w:t>
      </w:r>
    </w:p>
    <w:p>
      <w:r>
        <w:rPr>
          <w:b/>
        </w:rPr>
        <w:t xml:space="preserve">1. </w:t>
      </w:r>
      <w:r>
        <w:t>On Student Login, enter your Application Number.</w:t>
      </w:r>
    </w:p>
    <w:p>
      <w:r>
        <w:rPr>
          <w:b/>
        </w:rPr>
        <w:t xml:space="preserve">2. </w:t>
      </w:r>
      <w:r>
        <w:t>Enter your Proodle PIN in the PIN field, then select the sign-in control.</w:t>
      </w:r>
    </w:p>
    <w:p>
      <w:r>
        <w:rPr>
          <w:b/>
        </w:rPr>
        <w:t xml:space="preserve">3. </w:t>
      </w:r>
      <w:r>
        <w:t>Wait for the home screen. If sign-in fails, check the credentials through the established Proodle account process.</w:t>
      </w:r>
    </w:p>
    <w:p>
      <w:r>
        <w:t>The app does not provide a separate student registration or PIN reset process. A lost or invalid PIN requires the existing account-support route.</w:t>
      </w:r>
    </w:p>
    <w:p>
      <w:pPr>
        <w:pStyle w:val="Heading2"/>
      </w:pPr>
      <w:r>
        <w:t>Main navigation</w:t>
      </w:r>
    </w:p>
    <w:tbl>
      <w:tblPr>
        <w:tblStyle w:val="LightShading-Accent1"/>
        <w:tblW w:type="auto" w:w="0"/>
        <w:tblLayout w:type="fixed"/>
        <w:tblLook w:firstColumn="1" w:firstRow="1" w:lastColumn="0" w:lastRow="0" w:noHBand="0" w:noVBand="1" w:val="04A0"/>
      </w:tblPr>
      <w:tblGrid>
        <w:gridCol w:w="4802"/>
        <w:gridCol w:w="4802"/>
      </w:tblGrid>
      <w:tr>
        <w:trPr>
          <w:tblHeader/>
        </w:trPr>
        <w:tc>
          <w:tcPr>
            <w:tcW w:type="dxa" w:w="1512"/>
          </w:tcPr>
          <w:p>
            <w:pPr>
              <w:spacing w:after="100"/>
            </w:pPr>
            <w:r>
              <w:rPr>
                <w:sz w:val="20"/>
              </w:rPr>
              <w:t>Area</w:t>
            </w:r>
          </w:p>
        </w:tc>
        <w:tc>
          <w:tcPr>
            <w:tcW w:type="dxa" w:w="7848"/>
          </w:tcPr>
          <w:p>
            <w:pPr>
              <w:spacing w:after="100"/>
            </w:pPr>
            <w:r>
              <w:rPr>
                <w:sz w:val="20"/>
              </w:rPr>
              <w:t>Use</w:t>
            </w:r>
          </w:p>
        </w:tc>
      </w:tr>
      <w:tr>
        <w:tc>
          <w:tcPr>
            <w:tcW w:type="dxa" w:w="1512"/>
          </w:tcPr>
          <w:p>
            <w:pPr>
              <w:spacing w:after="100"/>
            </w:pPr>
            <w:r>
              <w:rPr>
                <w:sz w:val="20"/>
              </w:rPr>
              <w:t>Home</w:t>
            </w:r>
          </w:p>
        </w:tc>
        <w:tc>
          <w:tcPr>
            <w:tcW w:type="dxa" w:w="7848"/>
          </w:tcPr>
          <w:p>
            <w:pPr>
              <w:spacing w:after="100"/>
            </w:pPr>
            <w:r>
              <w:rPr>
                <w:sz w:val="20"/>
              </w:rPr>
              <w:t>Wallet and student details, monthly budget and expense summary.</w:t>
            </w:r>
          </w:p>
        </w:tc>
      </w:tr>
      <w:tr>
        <w:tc>
          <w:tcPr>
            <w:tcW w:type="dxa" w:w="1512"/>
          </w:tcPr>
          <w:p>
            <w:pPr>
              <w:spacing w:after="100"/>
            </w:pPr>
            <w:r>
              <w:rPr>
                <w:sz w:val="20"/>
              </w:rPr>
              <w:t>Menu</w:t>
            </w:r>
          </w:p>
        </w:tc>
        <w:tc>
          <w:tcPr>
            <w:tcW w:type="dxa" w:w="7848"/>
          </w:tcPr>
          <w:p>
            <w:pPr>
              <w:spacing w:after="100"/>
            </w:pPr>
            <w:r>
              <w:rPr>
                <w:sz w:val="20"/>
              </w:rPr>
              <w:t>Search food, choose an outlet, save favourites and build a cart.</w:t>
            </w:r>
          </w:p>
        </w:tc>
      </w:tr>
      <w:tr>
        <w:tc>
          <w:tcPr>
            <w:tcW w:type="dxa" w:w="1512"/>
          </w:tcPr>
          <w:p>
            <w:pPr>
              <w:spacing w:after="100"/>
            </w:pPr>
            <w:r>
              <w:rPr>
                <w:sz w:val="20"/>
              </w:rPr>
              <w:t>Orders</w:t>
            </w:r>
          </w:p>
        </w:tc>
        <w:tc>
          <w:tcPr>
            <w:tcW w:type="dxa" w:w="7848"/>
          </w:tcPr>
          <w:p>
            <w:pPr>
              <w:spacing w:after="100"/>
            </w:pPr>
            <w:r>
              <w:rPr>
                <w:sz w:val="20"/>
              </w:rPr>
              <w:t>Review order history and open available order details or QR controls.</w:t>
            </w:r>
          </w:p>
        </w:tc>
      </w:tr>
      <w:tr>
        <w:tc>
          <w:tcPr>
            <w:tcW w:type="dxa" w:w="1512"/>
          </w:tcPr>
          <w:p>
            <w:pPr>
              <w:spacing w:after="100"/>
            </w:pPr>
            <w:r>
              <w:rPr>
                <w:sz w:val="20"/>
              </w:rPr>
              <w:t>Settings</w:t>
            </w:r>
          </w:p>
        </w:tc>
        <w:tc>
          <w:tcPr>
            <w:tcW w:type="dxa" w:w="7848"/>
          </w:tcPr>
          <w:p>
            <w:pPr>
              <w:spacing w:after="100"/>
            </w:pPr>
            <w:r>
              <w:rPr>
                <w:sz w:val="20"/>
              </w:rPr>
              <w:t>Change Dark Mode, view displayed mess hours and log out.</w:t>
            </w:r>
          </w:p>
        </w:tc>
      </w:tr>
    </w:tbl>
    <w:p/>
    <w:p>
      <w:r>
        <w:t>Logout is also available in the top bar. If a session expires, sign in again. An app restart may require a fresh login because network session cookies are held in memory.</w:t>
      </w:r>
    </w:p>
    <w:p>
      <w:r>
        <w:br w:type="page"/>
      </w:r>
    </w:p>
    <w:p>
      <w:pPr>
        <w:pStyle w:val="Heading1"/>
      </w:pPr>
      <w:r>
        <w:t>2. Menu browsing and cart management</w:t>
      </w:r>
    </w:p>
    <w:p>
      <w:pPr>
        <w:pStyle w:val="Heading2"/>
      </w:pPr>
      <w:r>
        <w:t>Choose food</w:t>
      </w:r>
    </w:p>
    <w:p>
      <w:r>
        <w:rPr>
          <w:b/>
        </w:rPr>
        <w:t xml:space="preserve">1. </w:t>
      </w:r>
      <w:r>
        <w:t>Open Menu and wait for the menu to load. Use Retry if loading fails.</w:t>
      </w:r>
    </w:p>
    <w:p>
      <w:r>
        <w:rPr>
          <w:b/>
        </w:rPr>
        <w:t xml:space="preserve">2. </w:t>
      </w:r>
      <w:r>
        <w:t>Use the search field to find a dish, portion description or outlet.</w:t>
      </w:r>
    </w:p>
    <w:p>
      <w:r>
        <w:rPr>
          <w:b/>
        </w:rPr>
        <w:t xml:space="preserve">3. </w:t>
      </w:r>
      <w:r>
        <w:t>Select All, an outlet category or Favourites to narrow the results.</w:t>
      </w:r>
    </w:p>
    <w:p>
      <w:r>
        <w:rPr>
          <w:b/>
        </w:rPr>
        <w:t xml:space="preserve">4. </w:t>
      </w:r>
      <w:r>
        <w:t>Check the dish name, portion, outlet and listed price. A stock label can show limited availability. SOLD OUT or Unavailable items cannot be added through the menu control.</w:t>
      </w:r>
    </w:p>
    <w:p>
      <w:r>
        <w:rPr>
          <w:b/>
        </w:rPr>
        <w:t xml:space="preserve">5. </w:t>
      </w:r>
      <w:r>
        <w:t>Tap ADD to add an item. Use the quantity controls to increase or decrease the quantity.</w:t>
      </w:r>
    </w:p>
    <w:p>
      <w:pPr>
        <w:pStyle w:val="Heading2"/>
      </w:pPr>
      <w:r>
        <w:t>Favourites</w:t>
      </w:r>
    </w:p>
    <w:p>
      <w:r>
        <w:t>Tap the heart icon on a food item to save it, then use Favourites to see saved dishes. A saved item still depends on the current menu and stock. Favourites are stored on the device.</w:t>
      </w:r>
    </w:p>
    <w:p>
      <w:pPr>
        <w:pStyle w:val="Heading2"/>
      </w:pPr>
      <w:r>
        <w:t>Review the cart</w:t>
      </w:r>
    </w:p>
    <w:p>
      <w:r>
        <w:rPr>
          <w:b/>
        </w:rPr>
        <w:t xml:space="preserve">1. </w:t>
      </w:r>
      <w:r>
        <w:t>Tap View Cart from the menu.</w:t>
      </w:r>
    </w:p>
    <w:p>
      <w:r>
        <w:rPr>
          <w:b/>
        </w:rPr>
        <w:t xml:space="preserve">2. </w:t>
      </w:r>
      <w:r>
        <w:t>Review each item, quantity and price. Remove unwanted items or reduce their quantity.</w:t>
      </w:r>
    </w:p>
    <w:p>
      <w:r>
        <w:rPr>
          <w:b/>
        </w:rPr>
        <w:t xml:space="preserve">3. </w:t>
      </w:r>
      <w:r>
        <w:t>Check Total Payable before selecting Pay &amp; Order.</w:t>
      </w:r>
    </w:p>
    <w:p>
      <w:r>
        <w:t>For the initial pilot, use the selected outlet and the meal session that IT and the service owner have verified. Checkout currently uses the first cart item’s outlet and a fixed session value. Multi-outlet ordering and other sessions require explicit validation before use.</w:t>
      </w:r>
    </w:p>
    <w:p>
      <w:pPr>
        <w:pStyle w:val="Heading2"/>
      </w:pPr>
      <w:r>
        <w:t>Availability and timing</w:t>
      </w:r>
    </w:p>
    <w:p>
      <w:r>
        <w:t>Menu stock reflects the latest data the app loaded. It does not reserve food while you browse. Staff must resolve any difference between displayed availability and the authoritative service records.</w:t>
      </w:r>
    </w:p>
    <w:p>
      <w:r>
        <w:t>The app shows these local meal windows in India time: breakfast 07:00-09:30, lunch 12:00-14:30, snacks 17:00-18:30 and dinner 19:00-21:00. Administration must confirm them against the actual outlet schedule before launch. Displayed hours alone do not establish server permission to order.</w:t>
      </w:r>
    </w:p>
    <w:p>
      <w:pPr>
        <w:pStyle w:val="Heading2"/>
      </w:pPr>
      <w:r>
        <w:t>Reordering a past meal</w:t>
      </w:r>
    </w:p>
    <w:p>
      <w:r>
        <w:t>Orders contains a 1-Click Reorder shortcut. During the pilot, choose items afresh from Menu. The shortcut can construct a fallback item when it cannot match a current dish, so IT must correct and verify this behaviour before making it part of the supported workflow.</w:t>
      </w:r>
    </w:p>
    <w:p>
      <w:r>
        <w:br w:type="page"/>
      </w:r>
    </w:p>
    <w:p>
      <w:pPr>
        <w:pStyle w:val="Heading1"/>
      </w:pPr>
      <w:r>
        <w:t>3. Payment, confirmation and collection</w:t>
      </w:r>
    </w:p>
    <w:p>
      <w:pPr>
        <w:pStyle w:val="Heading2"/>
      </w:pPr>
      <w:r>
        <w:t>Authorize an order</w:t>
      </w:r>
    </w:p>
    <w:p>
      <w:r>
        <w:rPr>
          <w:b/>
        </w:rPr>
        <w:t xml:space="preserve">1. </w:t>
      </w:r>
      <w:r>
        <w:t>Review the cart and Total Payable, then tap Pay &amp; Order.</w:t>
      </w:r>
    </w:p>
    <w:p>
      <w:r>
        <w:rPr>
          <w:b/>
        </w:rPr>
        <w:t xml:space="preserve">2. </w:t>
      </w:r>
      <w:r>
        <w:t>In Confirm Mess PIN, check the amount. The PIN may already be filled from the local saved session. Confirm that you are using your own account.</w:t>
      </w:r>
    </w:p>
    <w:p>
      <w:r>
        <w:rPr>
          <w:b/>
        </w:rPr>
        <w:t xml:space="preserve">3. </w:t>
      </w:r>
      <w:r>
        <w:t>Enter or confirm the Proodle PIN, then tap Authorize &amp; Pay once. Wait while the app processes the request.</w:t>
      </w:r>
    </w:p>
    <w:p>
      <w:r>
        <w:rPr>
          <w:b/>
        </w:rPr>
        <w:t xml:space="preserve">4. </w:t>
      </w:r>
      <w:r>
        <w:t>After successful checkout, the app opens the order details. Retain the order ID for any support request.</w:t>
      </w:r>
    </w:p>
    <w:p>
      <w:r>
        <w:t>The app submits the items and then requests wallet payment. A timeout or error can happen after the server has received a request. An error message alone does not establish that the wallet remained unchanged.</w:t>
      </w:r>
    </w:p>
    <w:p>
      <w:pPr>
        <w:pStyle w:val="Heading2"/>
      </w:pPr>
      <w:r>
        <w:t>If payment is uncertain</w:t>
      </w:r>
    </w:p>
    <w:p>
      <w:r>
        <w:rPr>
          <w:b/>
        </w:rPr>
        <w:t xml:space="preserve">1. </w:t>
      </w:r>
      <w:r>
        <w:t>Stop retrying payment. Open Orders and refresh, then check the wallet balance on Home.</w:t>
      </w:r>
    </w:p>
    <w:p>
      <w:r>
        <w:rPr>
          <w:b/>
        </w:rPr>
        <w:t xml:space="preserve">2. </w:t>
      </w:r>
      <w:r>
        <w:t>If a new order or a deduction appears, ask the authorised support team to reconcile the record before placing another order.</w:t>
      </w:r>
    </w:p>
    <w:p>
      <w:r>
        <w:rPr>
          <w:b/>
        </w:rPr>
        <w:t xml:space="preserve">3. </w:t>
      </w:r>
      <w:r>
        <w:t>Provide the order ID if available, the approximate time, outlet, amount and error message. Never include your PIN, session information or a usable QR code.</w:t>
      </w:r>
    </w:p>
    <w:p>
      <w:pPr>
        <w:pStyle w:val="Heading2"/>
      </w:pPr>
      <w:r>
        <w:t>Collect the meal</w:t>
      </w:r>
    </w:p>
    <w:p>
      <w:r>
        <w:rPr>
          <w:b/>
        </w:rPr>
        <w:t xml:space="preserve">1. </w:t>
      </w:r>
      <w:r>
        <w:t>Use the QR in the order details when available. For an existing order, open Orders and use its QR control if the app displays one.</w:t>
      </w:r>
    </w:p>
    <w:p>
      <w:r>
        <w:rPr>
          <w:b/>
        </w:rPr>
        <w:t xml:space="preserve">2. </w:t>
      </w:r>
      <w:r>
        <w:t>Present the code at the correct authorised counter. Staff verify it using the established system before handing over the meal.</w:t>
      </w:r>
    </w:p>
    <w:p>
      <w:r>
        <w:rPr>
          <w:b/>
        </w:rPr>
        <w:t xml:space="preserve">3. </w:t>
      </w:r>
      <w:r>
        <w:t>Follow the outlet’s approved collection and expiry rules. Do not share the QR or try to collect the same order again.</w:t>
      </w:r>
    </w:p>
    <w:p>
      <w:r>
        <w:t>The detail screen says collection is valid today only. Administration and the service owner must confirm actual expiry and redemption rules. History currently hides the QR control for Success, Delivered, failed or Cancel records. A missing QR must therefore go through staff verification rather than another payment.</w:t>
      </w:r>
    </w:p>
    <w:p>
      <w:pPr>
        <w:pStyle w:val="Heading2"/>
      </w:pPr>
      <w:r>
        <w:t>Cancellation and refunds</w:t>
      </w:r>
    </w:p>
    <w:p>
      <w:r>
        <w:t>VITeats has no implemented cancellation or refund workflow. Request these through the authorised institutional process, quoting the order reference. Staff should confirm outcomes in the official records.</w:t>
      </w:r>
    </w:p>
    <w:p>
      <w:r>
        <w:br w:type="page"/>
      </w:r>
    </w:p>
    <w:p>
      <w:pPr>
        <w:pStyle w:val="Heading1"/>
      </w:pPr>
      <w:r>
        <w:t>4. Wallet, monthly budget and settings</w:t>
      </w:r>
    </w:p>
    <w:p>
      <w:pPr>
        <w:pStyle w:val="Heading2"/>
      </w:pPr>
      <w:r>
        <w:t>Wallet and spending</w:t>
      </w:r>
    </w:p>
    <w:p>
      <w:r>
        <w:t>Home retrieves the wallet balance from Proodle and shows a monthly expense summary based on loaded order history. Refresh failed data through the available retry controls. Use authoritative account records to resolve differences.</w:t>
      </w:r>
    </w:p>
    <w:p>
      <w:pPr>
        <w:pStyle w:val="Heading2"/>
      </w:pPr>
      <w:r>
        <w:t>Set a personal budget</w:t>
      </w:r>
    </w:p>
    <w:p>
      <w:r>
        <w:rPr>
          <w:b/>
        </w:rPr>
        <w:t xml:space="preserve">1. </w:t>
      </w:r>
      <w:r>
        <w:t>On Home, select the edit control beside the monthly budget area.</w:t>
      </w:r>
    </w:p>
    <w:p>
      <w:r>
        <w:rPr>
          <w:b/>
        </w:rPr>
        <w:t xml:space="preserve">2. </w:t>
      </w:r>
      <w:r>
        <w:t>Enter a positive amount in Set Monthly Budget and save it.</w:t>
      </w:r>
    </w:p>
    <w:p>
      <w:r>
        <w:rPr>
          <w:b/>
        </w:rPr>
        <w:t xml:space="preserve">3. </w:t>
      </w:r>
      <w:r>
        <w:t>Review spending, remaining budget and the daily allowance. Edit the amount when your plan changes.</w:t>
      </w:r>
    </w:p>
    <w:p>
      <w:r>
        <w:t>The budget is a personal planning setting. Saving a budget does not add money to the wallet or impose an institutional spending limit. The app resets the stored allocation for a new month and prompts for a new amount.</w:t>
      </w:r>
    </w:p>
    <w:p>
      <w:pPr>
        <w:pStyle w:val="Heading2"/>
      </w:pPr>
      <w:r>
        <w:t>How the daily allowance works</w:t>
      </w:r>
    </w:p>
    <w:p>
      <w:r>
        <w:t>Monthly spending uses distinct orders with Success or Delivered status from the current month. The allowance uses the smaller of the current wallet balance and the remaining budget, divided by the days remaining in the month including today. If no budget is set, it uses the wallet balance.</w:t>
      </w:r>
    </w:p>
    <w:p>
      <w:r>
        <w:t>Example: with a budget of Rs. 3,000, recorded spending of Rs. 1,000 and a wallet balance of Rs. 1,500, the available amount is Rs. 1,500. With 10 days left including today, the suggested allowance is Rs. 150 per day. This is an illustration, not a real account.</w:t>
      </w:r>
    </w:p>
    <w:p>
      <w:r>
        <w:t>Expense categories may use the order description or ordering time to classify meals. They are personal summaries and require review before any institutional reporting use. The app does not provide a wallet top-up feature.</w:t>
      </w:r>
    </w:p>
    <w:p>
      <w:pPr>
        <w:pStyle w:val="Heading2"/>
      </w:pPr>
      <w:r>
        <w:t>Appearance and account session</w:t>
      </w:r>
    </w:p>
    <w:p>
      <w:pPr>
        <w:pStyle w:val="ListBullet"/>
      </w:pPr>
      <w:r>
        <w:t>Open Settings and switch Dark Mode on or off.</w:t>
      </w:r>
    </w:p>
    <w:p>
      <w:pPr>
        <w:pStyle w:val="ListBullet"/>
      </w:pPr>
      <w:r>
        <w:t>Check Mess Operating Hours, while following the outlet’s confirmed schedule.</w:t>
      </w:r>
    </w:p>
    <w:p>
      <w:pPr>
        <w:pStyle w:val="ListBullet"/>
      </w:pPr>
      <w:r>
        <w:t>Select Logout from VITeats, or Logout in the top bar, to end the saved account session.</w:t>
      </w:r>
    </w:p>
    <w:p>
      <w:pPr>
        <w:pStyle w:val="Heading2"/>
      </w:pPr>
      <w:r>
        <w:t>Device privacy</w:t>
      </w:r>
    </w:p>
    <w:p>
      <w:r>
        <w:t>The app encrypts saved application identifiers and the cached PIN using Android Keystore. Network body logging is disabled. Keep the device locked and use a personal device. The release team must review the PIN-caching policy, account switching and backup behaviour before deployment. Logout clears session values, but other local preferences require separate verification.</w:t>
      </w:r>
    </w:p>
    <w:p>
      <w:r>
        <w:br w:type="page"/>
      </w:r>
    </w:p>
    <w:p>
      <w:pPr>
        <w:pStyle w:val="Heading1"/>
      </w:pPr>
      <w:r>
        <w:t>5. Troubleshooting and student support</w:t>
      </w:r>
    </w:p>
    <w:tbl>
      <w:tblPr>
        <w:tblStyle w:val="LightShading-Accent1"/>
        <w:tblW w:type="auto" w:w="0"/>
        <w:tblLayout w:type="fixed"/>
        <w:tblLook w:firstColumn="1" w:firstRow="1" w:lastColumn="0" w:lastRow="0" w:noHBand="0" w:noVBand="1" w:val="04A0"/>
      </w:tblPr>
      <w:tblGrid>
        <w:gridCol w:w="4802"/>
        <w:gridCol w:w="4802"/>
      </w:tblGrid>
      <w:tr>
        <w:trPr>
          <w:tblHeader/>
        </w:trPr>
        <w:tc>
          <w:tcPr>
            <w:tcW w:type="dxa" w:w="2232"/>
          </w:tcPr>
          <w:p>
            <w:pPr>
              <w:spacing w:after="100"/>
            </w:pPr>
            <w:r>
              <w:rPr>
                <w:sz w:val="20"/>
              </w:rPr>
              <w:t>Problem</w:t>
            </w:r>
          </w:p>
        </w:tc>
        <w:tc>
          <w:tcPr>
            <w:tcW w:type="dxa" w:w="7128"/>
          </w:tcPr>
          <w:p>
            <w:pPr>
              <w:spacing w:after="100"/>
            </w:pPr>
            <w:r>
              <w:rPr>
                <w:sz w:val="20"/>
              </w:rPr>
              <w:t>Student action</w:t>
            </w:r>
          </w:p>
        </w:tc>
      </w:tr>
      <w:tr>
        <w:tc>
          <w:tcPr>
            <w:tcW w:type="dxa" w:w="2232"/>
          </w:tcPr>
          <w:p>
            <w:pPr>
              <w:spacing w:after="100"/>
            </w:pPr>
            <w:r>
              <w:rPr>
                <w:sz w:val="20"/>
              </w:rPr>
              <w:t>Cannot sign in</w:t>
            </w:r>
          </w:p>
        </w:tc>
        <w:tc>
          <w:tcPr>
            <w:tcW w:type="dxa" w:w="7128"/>
          </w:tcPr>
          <w:p>
            <w:pPr>
              <w:spacing w:after="100"/>
            </w:pPr>
            <w:r>
              <w:rPr>
                <w:sz w:val="20"/>
              </w:rPr>
              <w:t>Check Application Number and PIN. Confirm network access. Use existing Proodle support for a lost PIN.</w:t>
            </w:r>
          </w:p>
        </w:tc>
      </w:tr>
      <w:tr>
        <w:tc>
          <w:tcPr>
            <w:tcW w:type="dxa" w:w="2232"/>
          </w:tcPr>
          <w:p>
            <w:pPr>
              <w:spacing w:after="100"/>
            </w:pPr>
            <w:r>
              <w:rPr>
                <w:sz w:val="20"/>
              </w:rPr>
              <w:t>Session expired</w:t>
            </w:r>
          </w:p>
        </w:tc>
        <w:tc>
          <w:tcPr>
            <w:tcW w:type="dxa" w:w="7128"/>
          </w:tcPr>
          <w:p>
            <w:pPr>
              <w:spacing w:after="100"/>
            </w:pPr>
            <w:r>
              <w:rPr>
                <w:sz w:val="20"/>
              </w:rPr>
              <w:t>Sign in again. If failures continue after reopening the app, report the time and error without credentials.</w:t>
            </w:r>
          </w:p>
        </w:tc>
      </w:tr>
      <w:tr>
        <w:tc>
          <w:tcPr>
            <w:tcW w:type="dxa" w:w="2232"/>
          </w:tcPr>
          <w:p>
            <w:pPr>
              <w:spacing w:after="100"/>
            </w:pPr>
            <w:r>
              <w:rPr>
                <w:sz w:val="20"/>
              </w:rPr>
              <w:t>Menu is empty or fails</w:t>
            </w:r>
          </w:p>
        </w:tc>
        <w:tc>
          <w:tcPr>
            <w:tcW w:type="dxa" w:w="7128"/>
          </w:tcPr>
          <w:p>
            <w:pPr>
              <w:spacing w:after="100"/>
            </w:pPr>
            <w:r>
              <w:rPr>
                <w:sz w:val="20"/>
              </w:rPr>
              <w:t>Clear the search, select All and use Retry. Confirm the outlet is open through its normal channel.</w:t>
            </w:r>
          </w:p>
        </w:tc>
      </w:tr>
      <w:tr>
        <w:tc>
          <w:tcPr>
            <w:tcW w:type="dxa" w:w="2232"/>
          </w:tcPr>
          <w:p>
            <w:pPr>
              <w:spacing w:after="100"/>
            </w:pPr>
            <w:r>
              <w:rPr>
                <w:sz w:val="20"/>
              </w:rPr>
              <w:t>Item becomes unavailable</w:t>
            </w:r>
          </w:p>
        </w:tc>
        <w:tc>
          <w:tcPr>
            <w:tcW w:type="dxa" w:w="7128"/>
          </w:tcPr>
          <w:p>
            <w:pPr>
              <w:spacing w:after="100"/>
            </w:pPr>
            <w:r>
              <w:rPr>
                <w:sz w:val="20"/>
              </w:rPr>
              <w:t>Return to Menu and select another current item. Ask staff about any paid order that cannot be fulfilled.</w:t>
            </w:r>
          </w:p>
        </w:tc>
      </w:tr>
      <w:tr>
        <w:tc>
          <w:tcPr>
            <w:tcW w:type="dxa" w:w="2232"/>
          </w:tcPr>
          <w:p>
            <w:pPr>
              <w:spacing w:after="100"/>
            </w:pPr>
            <w:r>
              <w:rPr>
                <w:sz w:val="20"/>
              </w:rPr>
              <w:t>Payment fails or stalls</w:t>
            </w:r>
          </w:p>
        </w:tc>
        <w:tc>
          <w:tcPr>
            <w:tcW w:type="dxa" w:w="7128"/>
          </w:tcPr>
          <w:p>
            <w:pPr>
              <w:spacing w:after="100"/>
            </w:pPr>
            <w:r>
              <w:rPr>
                <w:sz w:val="20"/>
              </w:rPr>
              <w:t>Check Orders and wallet before retrying. Ask support to reconcile any uncertain deduction.</w:t>
            </w:r>
          </w:p>
        </w:tc>
      </w:tr>
      <w:tr>
        <w:tc>
          <w:tcPr>
            <w:tcW w:type="dxa" w:w="2232"/>
          </w:tcPr>
          <w:p>
            <w:pPr>
              <w:spacing w:after="100"/>
            </w:pPr>
            <w:r>
              <w:rPr>
                <w:sz w:val="20"/>
              </w:rPr>
              <w:t>QR is missing or unreadable</w:t>
            </w:r>
          </w:p>
        </w:tc>
        <w:tc>
          <w:tcPr>
            <w:tcW w:type="dxa" w:w="7128"/>
          </w:tcPr>
          <w:p>
            <w:pPr>
              <w:spacing w:after="100"/>
            </w:pPr>
            <w:r>
              <w:rPr>
                <w:sz w:val="20"/>
              </w:rPr>
              <w:t>Check the correct order and use Retry where available. Ask counter staff to verify the official order record.</w:t>
            </w:r>
          </w:p>
        </w:tc>
      </w:tr>
      <w:tr>
        <w:tc>
          <w:tcPr>
            <w:tcW w:type="dxa" w:w="2232"/>
          </w:tcPr>
          <w:p>
            <w:pPr>
              <w:spacing w:after="100"/>
            </w:pPr>
            <w:r>
              <w:rPr>
                <w:sz w:val="20"/>
              </w:rPr>
              <w:t>Spending looks incorrect</w:t>
            </w:r>
          </w:p>
        </w:tc>
        <w:tc>
          <w:tcPr>
            <w:tcW w:type="dxa" w:w="7128"/>
          </w:tcPr>
          <w:p>
            <w:pPr>
              <w:spacing w:after="100"/>
            </w:pPr>
            <w:r>
              <w:rPr>
                <w:sz w:val="20"/>
              </w:rPr>
              <w:t>Retry expenses and compare current-month order history. Report duplicates, omissions or status differences.</w:t>
            </w:r>
          </w:p>
        </w:tc>
      </w:tr>
      <w:tr>
        <w:tc>
          <w:tcPr>
            <w:tcW w:type="dxa" w:w="2232"/>
          </w:tcPr>
          <w:p>
            <w:pPr>
              <w:spacing w:after="100"/>
            </w:pPr>
            <w:r>
              <w:rPr>
                <w:sz w:val="20"/>
              </w:rPr>
              <w:t>App closes or freezes</w:t>
            </w:r>
          </w:p>
        </w:tc>
        <w:tc>
          <w:tcPr>
            <w:tcW w:type="dxa" w:w="7128"/>
          </w:tcPr>
          <w:p>
            <w:pPr>
              <w:spacing w:after="100"/>
            </w:pPr>
            <w:r>
              <w:rPr>
                <w:sz w:val="20"/>
              </w:rPr>
              <w:t>Record the action, device model and app version. Reopen it, then check order and wallet state before repeating payment.</w:t>
            </w:r>
          </w:p>
        </w:tc>
      </w:tr>
    </w:tbl>
    <w:p/>
    <w:p>
      <w:pPr>
        <w:pStyle w:val="Heading2"/>
      </w:pPr>
      <w:r>
        <w:t>Information for a support request</w:t>
      </w:r>
    </w:p>
    <w:p>
      <w:pPr>
        <w:pStyle w:val="ListBullet"/>
      </w:pPr>
      <w:r>
        <w:t>Order ID if available, outlet, meal session and approximate date/time.</w:t>
      </w:r>
    </w:p>
    <w:p>
      <w:pPr>
        <w:pStyle w:val="ListBullet"/>
      </w:pPr>
      <w:r>
        <w:t>Amount and the exact visible message. Include a redacted screenshot only when useful.</w:t>
      </w:r>
    </w:p>
    <w:p>
      <w:pPr>
        <w:pStyle w:val="ListBullet"/>
      </w:pPr>
      <w:r>
        <w:t>Device model, Android version and installed VITeats version.</w:t>
      </w:r>
    </w:p>
    <w:p>
      <w:r>
        <w:t>Do not send a PIN, authentication cookie, full wallet history, student profile or usable QR image. Support can collect an account identifier through an approved private channel when necessary to locate the official record.</w:t>
      </w:r>
    </w:p>
    <w:p>
      <w:pPr>
        <w:pStyle w:val="Heading2"/>
      </w:pPr>
      <w:r>
        <w:t>Fallback during an interruption</w:t>
      </w:r>
    </w:p>
    <w:p>
      <w:r>
        <w:t>Use the established Proodle or counter procedure announced by administration. Before moving to the fallback, staff must check for an existing order or debit to avoid another charge or duplicate collection. The launch notice must name the support contact and fallback route.</w:t>
      </w:r>
    </w:p>
    <w:p>
      <w:r>
        <w:br w:type="page"/>
      </w:r>
    </w:p>
    <w:p>
      <w:pPr>
        <w:pStyle w:val="Heading1"/>
      </w:pPr>
      <w:r>
        <w:t>6. Proposed staff operating procedures</w:t>
      </w:r>
    </w:p>
    <w:p>
      <w:r>
        <w:t>These procedures are recommendations for the pilot. Staff use authorised existing systems. VITeats does not include an admin dashboard, a staff scanner or menu-editing tools.</w:t>
      </w:r>
    </w:p>
    <w:p>
      <w:pPr>
        <w:pStyle w:val="Heading2"/>
      </w:pPr>
      <w:r>
        <w:t>Before each meal session</w:t>
      </w:r>
    </w:p>
    <w:p>
      <w:r>
        <w:rPr>
          <w:b/>
        </w:rPr>
        <w:t xml:space="preserve">1. </w:t>
      </w:r>
      <w:r>
        <w:t>The mess supervisor confirms the outlet, meal window, menu prices and stock in the official system.</w:t>
      </w:r>
    </w:p>
    <w:p>
      <w:r>
        <w:rPr>
          <w:b/>
        </w:rPr>
        <w:t xml:space="preserve">2. </w:t>
      </w:r>
      <w:r>
        <w:t>Counter staff check connectivity and the authorised QR verification equipment.</w:t>
      </w:r>
    </w:p>
    <w:p>
      <w:r>
        <w:rPr>
          <w:b/>
        </w:rPr>
        <w:t xml:space="preserve">3. </w:t>
      </w:r>
      <w:r>
        <w:t>The pilot coordinator confirms that the support owner is available and that fallback instructions are visible.</w:t>
      </w:r>
    </w:p>
    <w:p>
      <w:pPr>
        <w:pStyle w:val="Heading2"/>
      </w:pPr>
      <w:r>
        <w:t>At collection</w:t>
      </w:r>
    </w:p>
    <w:p>
      <w:r>
        <w:rPr>
          <w:b/>
        </w:rPr>
        <w:t xml:space="preserve">1. </w:t>
      </w:r>
      <w:r>
        <w:t>Ask the student to open the correct order. Verify it in the authorised system and confirm the outlet and collection eligibility.</w:t>
      </w:r>
    </w:p>
    <w:p>
      <w:r>
        <w:rPr>
          <w:b/>
        </w:rPr>
        <w:t xml:space="preserve">2. </w:t>
      </w:r>
      <w:r>
        <w:t>Use the official redemption process. Hand over the correct meal only after verification succeeds.</w:t>
      </w:r>
    </w:p>
    <w:p>
      <w:r>
        <w:rPr>
          <w:b/>
        </w:rPr>
        <w:t xml:space="preserve">3. </w:t>
      </w:r>
      <w:r>
        <w:t>For a failed scan, check the server record through the approved exception procedure. Never ask the student for a PIN or request another payment just to recreate a QR.</w:t>
      </w:r>
    </w:p>
    <w:p>
      <w:r>
        <w:rPr>
          <w:b/>
        </w:rPr>
        <w:t xml:space="preserve">4. </w:t>
      </w:r>
      <w:r>
        <w:t>Record any unresolved exception and route it to the support owner. Prevent a second collection using the official redemption record.</w:t>
      </w:r>
    </w:p>
    <w:p>
      <w:pPr>
        <w:pStyle w:val="Heading2"/>
      </w:pPr>
      <w:r>
        <w:t>After each session</w:t>
      </w:r>
    </w:p>
    <w:p>
      <w:r>
        <w:rPr>
          <w:b/>
        </w:rPr>
        <w:t xml:space="preserve">1. </w:t>
      </w:r>
      <w:r>
        <w:t>Reconcile confirmed payments, submitted orders and collected meals through official records. Investigate unmatched debits and orders.</w:t>
      </w:r>
    </w:p>
    <w:p>
      <w:r>
        <w:rPr>
          <w:b/>
        </w:rPr>
        <w:t xml:space="preserve">2. </w:t>
      </w:r>
      <w:r>
        <w:t>Maintain a minimal incident log with order reference, time, issue, owner and outcome. Restrict access to authorised staff.</w:t>
      </w:r>
    </w:p>
    <w:p>
      <w:r>
        <w:rPr>
          <w:b/>
        </w:rPr>
        <w:t xml:space="preserve">3. </w:t>
      </w:r>
      <w:r>
        <w:t>Review recurring errors with the app team and service owner before the next session.</w:t>
      </w:r>
    </w:p>
    <w:p>
      <w:pPr>
        <w:pStyle w:val="Heading2"/>
      </w:pPr>
      <w:r>
        <w:t>Responsibility and escalation</w:t>
      </w:r>
    </w:p>
    <w:tbl>
      <w:tblPr>
        <w:tblStyle w:val="LightShading-Accent1"/>
        <w:tblW w:type="auto" w:w="0"/>
        <w:tblLayout w:type="fixed"/>
        <w:tblLook w:firstColumn="1" w:firstRow="1" w:lastColumn="0" w:lastRow="0" w:noHBand="0" w:noVBand="1" w:val="04A0"/>
      </w:tblPr>
      <w:tblGrid>
        <w:gridCol w:w="4802"/>
        <w:gridCol w:w="4802"/>
      </w:tblGrid>
      <w:tr>
        <w:trPr>
          <w:tblHeader/>
        </w:trPr>
        <w:tc>
          <w:tcPr>
            <w:tcW w:type="dxa" w:w="2376"/>
          </w:tcPr>
          <w:p>
            <w:pPr>
              <w:spacing w:after="100"/>
            </w:pPr>
            <w:r>
              <w:rPr>
                <w:sz w:val="20"/>
              </w:rPr>
              <w:t>Owner</w:t>
            </w:r>
          </w:p>
        </w:tc>
        <w:tc>
          <w:tcPr>
            <w:tcW w:type="dxa" w:w="6984"/>
          </w:tcPr>
          <w:p>
            <w:pPr>
              <w:spacing w:after="100"/>
            </w:pPr>
            <w:r>
              <w:rPr>
                <w:sz w:val="20"/>
              </w:rPr>
              <w:t>Responsibility</w:t>
            </w:r>
          </w:p>
        </w:tc>
      </w:tr>
      <w:tr>
        <w:tc>
          <w:tcPr>
            <w:tcW w:type="dxa" w:w="2376"/>
          </w:tcPr>
          <w:p>
            <w:pPr>
              <w:spacing w:after="100"/>
            </w:pPr>
            <w:r>
              <w:rPr>
                <w:sz w:val="20"/>
              </w:rPr>
              <w:t>Hostel administrator</w:t>
            </w:r>
          </w:p>
        </w:tc>
        <w:tc>
          <w:tcPr>
            <w:tcW w:type="dxa" w:w="6984"/>
          </w:tcPr>
          <w:p>
            <w:pPr>
              <w:spacing w:after="100"/>
            </w:pPr>
            <w:r>
              <w:rPr>
                <w:sz w:val="20"/>
              </w:rPr>
              <w:t>Pilot approval, student notices and expansion decision.</w:t>
            </w:r>
          </w:p>
        </w:tc>
      </w:tr>
      <w:tr>
        <w:tc>
          <w:tcPr>
            <w:tcW w:type="dxa" w:w="2376"/>
          </w:tcPr>
          <w:p>
            <w:pPr>
              <w:spacing w:after="100"/>
            </w:pPr>
            <w:r>
              <w:rPr>
                <w:sz w:val="20"/>
              </w:rPr>
              <w:t>IT/app maintainer</w:t>
            </w:r>
          </w:p>
        </w:tc>
        <w:tc>
          <w:tcPr>
            <w:tcW w:type="dxa" w:w="6984"/>
          </w:tcPr>
          <w:p>
            <w:pPr>
              <w:spacing w:after="100"/>
            </w:pPr>
            <w:r>
              <w:rPr>
                <w:sz w:val="20"/>
              </w:rPr>
              <w:t>Signed releases, technical investigation and verified fixes.</w:t>
            </w:r>
          </w:p>
        </w:tc>
      </w:tr>
      <w:tr>
        <w:tc>
          <w:tcPr>
            <w:tcW w:type="dxa" w:w="2376"/>
          </w:tcPr>
          <w:p>
            <w:pPr>
              <w:spacing w:after="100"/>
            </w:pPr>
            <w:r>
              <w:rPr>
                <w:sz w:val="20"/>
              </w:rPr>
              <w:t>Proodle service owner</w:t>
            </w:r>
          </w:p>
        </w:tc>
        <w:tc>
          <w:tcPr>
            <w:tcW w:type="dxa" w:w="6984"/>
          </w:tcPr>
          <w:p>
            <w:pPr>
              <w:spacing w:after="100"/>
            </w:pPr>
            <w:r>
              <w:rPr>
                <w:sz w:val="20"/>
              </w:rPr>
              <w:t>API semantics, authoritative transaction records and capacity.</w:t>
            </w:r>
          </w:p>
        </w:tc>
      </w:tr>
      <w:tr>
        <w:tc>
          <w:tcPr>
            <w:tcW w:type="dxa" w:w="2376"/>
          </w:tcPr>
          <w:p>
            <w:pPr>
              <w:spacing w:after="100"/>
            </w:pPr>
            <w:r>
              <w:rPr>
                <w:sz w:val="20"/>
              </w:rPr>
              <w:t>Mess supervisor</w:t>
            </w:r>
          </w:p>
        </w:tc>
        <w:tc>
          <w:tcPr>
            <w:tcW w:type="dxa" w:w="6984"/>
          </w:tcPr>
          <w:p>
            <w:pPr>
              <w:spacing w:after="100"/>
            </w:pPr>
            <w:r>
              <w:rPr>
                <w:sz w:val="20"/>
              </w:rPr>
              <w:t>Stock, counter training, collection and fulfilment exceptions.</w:t>
            </w:r>
          </w:p>
        </w:tc>
      </w:tr>
      <w:tr>
        <w:tc>
          <w:tcPr>
            <w:tcW w:type="dxa" w:w="2376"/>
          </w:tcPr>
          <w:p>
            <w:pPr>
              <w:spacing w:after="100"/>
            </w:pPr>
            <w:r>
              <w:rPr>
                <w:sz w:val="20"/>
              </w:rPr>
              <w:t>Support coordinator</w:t>
            </w:r>
          </w:p>
        </w:tc>
        <w:tc>
          <w:tcPr>
            <w:tcW w:type="dxa" w:w="6984"/>
          </w:tcPr>
          <w:p>
            <w:pPr>
              <w:spacing w:after="100"/>
            </w:pPr>
            <w:r>
              <w:rPr>
                <w:sz w:val="20"/>
              </w:rPr>
              <w:t>Incident intake, tracking and daily reconciliation follow-up.</w:t>
            </w:r>
          </w:p>
        </w:tc>
      </w:tr>
    </w:tbl>
    <w:p/>
    <w:p>
      <w:r>
        <w:t>Pause new pilot ordering when payment or collection discrepancies cannot be reconciled. Announce the established fallback, retain official records and resume only after the accountable owners approve a verified fix.</w:t>
      </w:r>
    </w:p>
    <w:p>
      <w:r>
        <w:br w:type="page"/>
      </w:r>
    </w:p>
    <w:p>
      <w:pPr>
        <w:pStyle w:val="Heading1"/>
      </w:pPr>
      <w:r>
        <w:t>7. Pilot and phased hostel implementation</w:t>
      </w:r>
    </w:p>
    <w:p>
      <w:pPr>
        <w:pStyle w:val="Heading2"/>
      </w:pPr>
      <w:r>
        <w:t>Suggested pilot scope</w:t>
      </w:r>
    </w:p>
    <w:p>
      <w:r>
        <w:t>About 100 volunteer Android users in one hostel, one selected outlet and one verified meal session for four weeks. These are proposed parameters. Begin the schedule only after the readiness checklist passes and administration approves real-money use.</w:t>
      </w:r>
    </w:p>
    <w:tbl>
      <w:tblPr>
        <w:tblStyle w:val="LightShading-Accent1"/>
        <w:tblW w:type="auto" w:w="0"/>
        <w:tblLayout w:type="fixed"/>
        <w:tblLook w:firstColumn="1" w:firstRow="1" w:lastColumn="0" w:lastRow="0" w:noHBand="0" w:noVBand="1" w:val="04A0"/>
      </w:tblPr>
      <w:tblGrid>
        <w:gridCol w:w="4802"/>
        <w:gridCol w:w="4802"/>
      </w:tblGrid>
      <w:tr>
        <w:trPr>
          <w:tblHeader/>
        </w:trPr>
        <w:tc>
          <w:tcPr>
            <w:tcW w:type="dxa" w:w="1656"/>
          </w:tcPr>
          <w:p>
            <w:pPr>
              <w:spacing w:after="100"/>
            </w:pPr>
            <w:r>
              <w:rPr>
                <w:sz w:val="20"/>
              </w:rPr>
              <w:t>Stage</w:t>
            </w:r>
          </w:p>
        </w:tc>
        <w:tc>
          <w:tcPr>
            <w:tcW w:type="dxa" w:w="7704"/>
          </w:tcPr>
          <w:p>
            <w:pPr>
              <w:spacing w:after="100"/>
            </w:pPr>
            <w:r>
              <w:rPr>
                <w:sz w:val="20"/>
              </w:rPr>
              <w:t>Activities and decision</w:t>
            </w:r>
          </w:p>
        </w:tc>
      </w:tr>
      <w:tr>
        <w:tc>
          <w:tcPr>
            <w:tcW w:type="dxa" w:w="1656"/>
          </w:tcPr>
          <w:p>
            <w:pPr>
              <w:spacing w:after="100"/>
            </w:pPr>
            <w:r>
              <w:rPr>
                <w:sz w:val="20"/>
              </w:rPr>
              <w:t>Before week 1</w:t>
            </w:r>
          </w:p>
        </w:tc>
        <w:tc>
          <w:tcPr>
            <w:tcW w:type="dxa" w:w="7704"/>
          </w:tcPr>
          <w:p>
            <w:pPr>
              <w:spacing w:after="100"/>
            </w:pPr>
            <w:r>
              <w:rPr>
                <w:sz w:val="20"/>
              </w:rPr>
              <w:t>Approve the integration, test accounts and release. Establish baseline observations, support contacts and acceptance criteria.</w:t>
            </w:r>
          </w:p>
        </w:tc>
      </w:tr>
      <w:tr>
        <w:tc>
          <w:tcPr>
            <w:tcW w:type="dxa" w:w="1656"/>
          </w:tcPr>
          <w:p>
            <w:pPr>
              <w:spacing w:after="100"/>
            </w:pPr>
            <w:r>
              <w:rPr>
                <w:sz w:val="20"/>
              </w:rPr>
              <w:t>Week 1</w:t>
            </w:r>
          </w:p>
        </w:tc>
        <w:tc>
          <w:tcPr>
            <w:tcW w:type="dxa" w:w="7704"/>
          </w:tcPr>
          <w:p>
            <w:pPr>
              <w:spacing w:after="100"/>
            </w:pPr>
            <w:r>
              <w:rPr>
                <w:sz w:val="20"/>
              </w:rPr>
              <w:t>Train staff and volunteers. Supervise the full ordering and collection cycle.</w:t>
            </w:r>
          </w:p>
        </w:tc>
      </w:tr>
      <w:tr>
        <w:tc>
          <w:tcPr>
            <w:tcW w:type="dxa" w:w="1656"/>
          </w:tcPr>
          <w:p>
            <w:pPr>
              <w:spacing w:after="100"/>
            </w:pPr>
            <w:r>
              <w:rPr>
                <w:sz w:val="20"/>
              </w:rPr>
              <w:t>Week 2</w:t>
            </w:r>
          </w:p>
        </w:tc>
        <w:tc>
          <w:tcPr>
            <w:tcW w:type="dxa" w:w="7704"/>
          </w:tcPr>
          <w:p>
            <w:pPr>
              <w:spacing w:after="100"/>
            </w:pPr>
            <w:r>
              <w:rPr>
                <w:sz w:val="20"/>
              </w:rPr>
              <w:t>Observe routine use. Review payment reconciliation and support issues daily.</w:t>
            </w:r>
          </w:p>
        </w:tc>
      </w:tr>
      <w:tr>
        <w:tc>
          <w:tcPr>
            <w:tcW w:type="dxa" w:w="1656"/>
          </w:tcPr>
          <w:p>
            <w:pPr>
              <w:spacing w:after="100"/>
            </w:pPr>
            <w:r>
              <w:rPr>
                <w:sz w:val="20"/>
              </w:rPr>
              <w:t>Week 3</w:t>
            </w:r>
          </w:p>
        </w:tc>
        <w:tc>
          <w:tcPr>
            <w:tcW w:type="dxa" w:w="7704"/>
          </w:tcPr>
          <w:p>
            <w:pPr>
              <w:spacing w:after="100"/>
            </w:pPr>
            <w:r>
              <w:rPr>
                <w:sz w:val="20"/>
              </w:rPr>
              <w:t>Test agreed peak conditions within vendor-approved limits. Check slow networks, session expiry and recovery.</w:t>
            </w:r>
          </w:p>
        </w:tc>
      </w:tr>
      <w:tr>
        <w:tc>
          <w:tcPr>
            <w:tcW w:type="dxa" w:w="1656"/>
          </w:tcPr>
          <w:p>
            <w:pPr>
              <w:spacing w:after="100"/>
            </w:pPr>
            <w:r>
              <w:rPr>
                <w:sz w:val="20"/>
              </w:rPr>
              <w:t>Week 4</w:t>
            </w:r>
          </w:p>
        </w:tc>
        <w:tc>
          <w:tcPr>
            <w:tcW w:type="dxa" w:w="7704"/>
          </w:tcPr>
          <w:p>
            <w:pPr>
              <w:spacing w:after="100"/>
            </w:pPr>
            <w:r>
              <w:rPr>
                <w:sz w:val="20"/>
              </w:rPr>
              <w:t>Review results with administration, IT and the service owner. Expand, extend or pause the pilot.</w:t>
            </w:r>
          </w:p>
        </w:tc>
      </w:tr>
    </w:tbl>
    <w:p/>
    <w:p>
      <w:pPr>
        <w:pStyle w:val="Heading2"/>
      </w:pPr>
      <w:r>
        <w:t>Evidence for an expansion decision</w:t>
      </w:r>
    </w:p>
    <w:p>
      <w:pPr>
        <w:pStyle w:val="ListBullet"/>
      </w:pPr>
      <w:r>
        <w:t>Payment, order and collection records reconcile. Resolve every discrepancy before expansion.</w:t>
      </w:r>
    </w:p>
    <w:p>
      <w:pPr>
        <w:pStyle w:val="ListBullet"/>
      </w:pPr>
      <w:r>
        <w:t>Count failed checkout attempts, QR failures and successful collections. Agree acceptable thresholds before enrolment.</w:t>
      </w:r>
    </w:p>
    <w:p>
      <w:pPr>
        <w:pStyle w:val="ListBullet"/>
      </w:pPr>
      <w:r>
        <w:t>Compare order completion and counter wait times with equivalent baseline meal periods. Report observations rather than assumed savings.</w:t>
      </w:r>
    </w:p>
    <w:p>
      <w:pPr>
        <w:pStyle w:val="ListBullet"/>
      </w:pPr>
      <w:r>
        <w:t>Track active volunteers, repeat use, help requests and feedback using the minimum necessary data.</w:t>
      </w:r>
    </w:p>
    <w:p>
      <w:pPr>
        <w:pStyle w:val="Heading2"/>
      </w:pPr>
      <w:r>
        <w:t>Expansion sequence</w:t>
      </w:r>
    </w:p>
    <w:p>
      <w:r>
        <w:t>Add hostels, outlets and meal sessions in reviewed increments. Repeat capacity, stock, payment and collection checks at each step. Keep the established service route available for other users and interruptions. The current project is Android-only, so administration must retain an accessible route for students using other devices.</w:t>
      </w:r>
    </w:p>
    <w:p>
      <w:pPr>
        <w:pStyle w:val="Heading2"/>
      </w:pPr>
      <w:r>
        <w:t>Resources and costs</w:t>
      </w:r>
    </w:p>
    <w:p>
      <w:r>
        <w:t>Assign technical maintenance and support coverage. Confirm signing, app distribution, counter devices, connectivity, staff training and vendor support. IT and the service owner must prepare a costed implementation plan before wider rollout. No validated cost, savings or capacity figure is assumed in this proposal.</w:t>
      </w:r>
    </w:p>
    <w:p>
      <w:r>
        <w:br w:type="page"/>
      </w:r>
    </w:p>
    <w:p>
      <w:pPr>
        <w:pStyle w:val="Heading1"/>
      </w:pPr>
      <w:r>
        <w:t>8. Technical readiness and acceptance</w:t>
      </w:r>
    </w:p>
    <w:p>
      <w:r>
        <w:t>IT and the service owner should sign off these checks before volunteer ordering. Validate against approved test accounts and a formally agreed API contract, then perform supervised acceptance transactions if authorised.</w:t>
      </w:r>
    </w:p>
    <w:tbl>
      <w:tblPr>
        <w:tblStyle w:val="LightShading-Accent1"/>
        <w:tblW w:type="auto" w:w="0"/>
        <w:tblLayout w:type="fixed"/>
        <w:tblLook w:firstColumn="1" w:firstRow="1" w:lastColumn="0" w:lastRow="0" w:noHBand="0" w:noVBand="1" w:val="04A0"/>
      </w:tblPr>
      <w:tblGrid>
        <w:gridCol w:w="4802"/>
        <w:gridCol w:w="4802"/>
      </w:tblGrid>
      <w:tr>
        <w:trPr>
          <w:tblHeader/>
        </w:trPr>
        <w:tc>
          <w:tcPr>
            <w:tcW w:type="dxa" w:w="2016"/>
          </w:tcPr>
          <w:p>
            <w:pPr>
              <w:spacing w:after="100"/>
            </w:pPr>
            <w:r>
              <w:rPr>
                <w:sz w:val="20"/>
              </w:rPr>
              <w:t>Check</w:t>
            </w:r>
          </w:p>
        </w:tc>
        <w:tc>
          <w:tcPr>
            <w:tcW w:type="dxa" w:w="7344"/>
          </w:tcPr>
          <w:p>
            <w:pPr>
              <w:spacing w:after="100"/>
            </w:pPr>
            <w:r>
              <w:rPr>
                <w:sz w:val="20"/>
              </w:rPr>
              <w:t>Required evidence</w:t>
            </w:r>
          </w:p>
        </w:tc>
      </w:tr>
      <w:tr>
        <w:tc>
          <w:tcPr>
            <w:tcW w:type="dxa" w:w="2016"/>
          </w:tcPr>
          <w:p>
            <w:pPr>
              <w:spacing w:after="100"/>
            </w:pPr>
            <w:r>
              <w:rPr>
                <w:sz w:val="20"/>
              </w:rPr>
              <w:t>Integration and identity</w:t>
            </w:r>
          </w:p>
        </w:tc>
        <w:tc>
          <w:tcPr>
            <w:tcW w:type="dxa" w:w="7344"/>
          </w:tcPr>
          <w:p>
            <w:pPr>
              <w:spacing w:after="100"/>
            </w:pPr>
            <w:r>
              <w:rPr>
                <w:sz w:val="20"/>
              </w:rPr>
              <w:t>Service-owner approval. Confirm login response fields, cookie requirements, restart/session expiry and account-level authorisation.</w:t>
            </w:r>
          </w:p>
        </w:tc>
      </w:tr>
      <w:tr>
        <w:tc>
          <w:tcPr>
            <w:tcW w:type="dxa" w:w="2016"/>
          </w:tcPr>
          <w:p>
            <w:pPr>
              <w:spacing w:after="100"/>
            </w:pPr>
            <w:r>
              <w:rPr>
                <w:sz w:val="20"/>
              </w:rPr>
              <w:t>Order mapping</w:t>
            </w:r>
          </w:p>
        </w:tc>
        <w:tc>
          <w:tcPr>
            <w:tcW w:type="dxa" w:w="7344"/>
          </w:tcPr>
          <w:p>
            <w:pPr>
              <w:spacing w:after="100"/>
            </w:pPr>
            <w:r>
              <w:rPr>
                <w:sz w:val="20"/>
              </w:rPr>
              <w:t>Correct outlet and session IDs for every supported meal. Enforce the agreed single-outlet or split-order rule.</w:t>
            </w:r>
          </w:p>
        </w:tc>
      </w:tr>
      <w:tr>
        <w:tc>
          <w:tcPr>
            <w:tcW w:type="dxa" w:w="2016"/>
          </w:tcPr>
          <w:p>
            <w:pPr>
              <w:spacing w:after="100"/>
            </w:pPr>
            <w:r>
              <w:rPr>
                <w:sz w:val="20"/>
              </w:rPr>
              <w:t>Payment correctness</w:t>
            </w:r>
          </w:p>
        </w:tc>
        <w:tc>
          <w:tcPr>
            <w:tcW w:type="dxa" w:w="7344"/>
          </w:tcPr>
          <w:p>
            <w:pPr>
              <w:spacing w:after="100"/>
            </w:pPr>
            <w:r>
              <w:rPr>
                <w:sz w:val="20"/>
              </w:rPr>
              <w:t>Server checks price, stock and wallet balance. Confirm payment response and order status meanings. Resolve partial failures without duplicate charges.</w:t>
            </w:r>
          </w:p>
        </w:tc>
      </w:tr>
      <w:tr>
        <w:tc>
          <w:tcPr>
            <w:tcW w:type="dxa" w:w="2016"/>
          </w:tcPr>
          <w:p>
            <w:pPr>
              <w:spacing w:after="100"/>
            </w:pPr>
            <w:r>
              <w:rPr>
                <w:sz w:val="20"/>
              </w:rPr>
              <w:t>Collection</w:t>
            </w:r>
          </w:p>
        </w:tc>
        <w:tc>
          <w:tcPr>
            <w:tcW w:type="dxa" w:w="7344"/>
          </w:tcPr>
          <w:p>
            <w:pPr>
              <w:spacing w:after="100"/>
            </w:pPr>
            <w:r>
              <w:rPr>
                <w:sz w:val="20"/>
              </w:rPr>
              <w:t>Verify QR retrieval, status-based visibility, expiry, redemption and prevention of repeated collection. Review Success/Delivered handling in history.</w:t>
            </w:r>
          </w:p>
        </w:tc>
      </w:tr>
      <w:tr>
        <w:tc>
          <w:tcPr>
            <w:tcW w:type="dxa" w:w="2016"/>
          </w:tcPr>
          <w:p>
            <w:pPr>
              <w:spacing w:after="100"/>
            </w:pPr>
            <w:r>
              <w:rPr>
                <w:sz w:val="20"/>
              </w:rPr>
              <w:t>Reordering</w:t>
            </w:r>
          </w:p>
        </w:tc>
        <w:tc>
          <w:tcPr>
            <w:tcW w:type="dxa" w:w="7344"/>
          </w:tcPr>
          <w:p>
            <w:pPr>
              <w:spacing w:after="100"/>
            </w:pPr>
            <w:r>
              <w:rPr>
                <w:sz w:val="20"/>
              </w:rPr>
              <w:t>Replace synthetic fallback products with verified current-menu item IDs and current prices. Validate stock and quantities.</w:t>
            </w:r>
          </w:p>
        </w:tc>
      </w:tr>
      <w:tr>
        <w:tc>
          <w:tcPr>
            <w:tcW w:type="dxa" w:w="2016"/>
          </w:tcPr>
          <w:p>
            <w:pPr>
              <w:spacing w:after="100"/>
            </w:pPr>
            <w:r>
              <w:rPr>
                <w:sz w:val="20"/>
              </w:rPr>
              <w:t>Security and privacy</w:t>
            </w:r>
          </w:p>
        </w:tc>
        <w:tc>
          <w:tcPr>
            <w:tcW w:type="dxa" w:w="7344"/>
          </w:tcPr>
          <w:p>
            <w:pPr>
              <w:spacing w:after="100"/>
            </w:pPr>
            <w:r>
              <w:rPr>
                <w:sz w:val="20"/>
              </w:rPr>
              <w:t>Review cached PIN, encryption, logout/account switching, logs, backup/restore rules and the pilot privacy notice.</w:t>
            </w:r>
          </w:p>
        </w:tc>
      </w:tr>
      <w:tr>
        <w:tc>
          <w:tcPr>
            <w:tcW w:type="dxa" w:w="2016"/>
          </w:tcPr>
          <w:p>
            <w:pPr>
              <w:spacing w:after="100"/>
            </w:pPr>
            <w:r>
              <w:rPr>
                <w:sz w:val="20"/>
              </w:rPr>
              <w:t>Distribution</w:t>
            </w:r>
          </w:p>
        </w:tc>
        <w:tc>
          <w:tcPr>
            <w:tcW w:type="dxa" w:w="7344"/>
          </w:tcPr>
          <w:p>
            <w:pPr>
              <w:spacing w:after="100"/>
            </w:pPr>
            <w:r>
              <w:rPr>
                <w:sz w:val="20"/>
              </w:rPr>
              <w:t>Use an institution-approved signed release. Document publisher, version, update process, rollback and support ownership.</w:t>
            </w:r>
          </w:p>
        </w:tc>
      </w:tr>
      <w:tr>
        <w:tc>
          <w:tcPr>
            <w:tcW w:type="dxa" w:w="2016"/>
          </w:tcPr>
          <w:p>
            <w:pPr>
              <w:spacing w:after="100"/>
            </w:pPr>
            <w:r>
              <w:rPr>
                <w:sz w:val="20"/>
              </w:rPr>
              <w:t>Capacity and resilience</w:t>
            </w:r>
          </w:p>
        </w:tc>
        <w:tc>
          <w:tcPr>
            <w:tcW w:type="dxa" w:w="7344"/>
          </w:tcPr>
          <w:p>
            <w:pPr>
              <w:spacing w:after="100"/>
            </w:pPr>
            <w:r>
              <w:rPr>
                <w:sz w:val="20"/>
              </w:rPr>
              <w:t>Test peak demand within approved limits, weak networks, timeouts and dependency failure. Confirm monitoring and fallback procedures.</w:t>
            </w:r>
          </w:p>
        </w:tc>
      </w:tr>
    </w:tbl>
    <w:p/>
    <w:p>
      <w:pPr>
        <w:pStyle w:val="Heading2"/>
      </w:pPr>
      <w:r>
        <w:t>Acceptance scenarios</w:t>
      </w:r>
    </w:p>
    <w:p>
      <w:r>
        <w:t>Include valid and invalid login, expired sessions, sold-out items, insufficient balance, each supported meal/outlet, an interrupted payment, duplicate taps, missing QR, repeated collection and app restart. Verify wallet, order and counter records together. Test budget month rollover and history parsing separately.</w:t>
      </w:r>
    </w:p>
    <w:p>
      <w:pPr>
        <w:pStyle w:val="Heading2"/>
      </w:pPr>
      <w:r>
        <w:t>Release decision record</w:t>
      </w:r>
    </w:p>
    <w:p>
      <w:r>
        <w:t>Record the approved scope, release version, test results, open issues, support contacts and named signatories. Expand only after the administration, IT and service owner accept the results and all material payment or fulfilment issues have an agreed resolution.</w:t>
      </w:r>
    </w:p>
    <w:p>
      <w:pPr>
        <w:pStyle w:val="Heading2"/>
      </w:pPr>
      <w:r>
        <w:t>Maintainer reference</w:t>
      </w:r>
    </w:p>
    <w:p>
      <w:r>
        <w:t>Project references: app/build.gradle.kts; ui/auth, menu, cart, orders, student and settings screens; data/repository/OrderRepository.kt; data/remote/NetworkModule.kt; data/SessionManager.kt; data/security/CryptoManager.kt; data/BudgetSummary.kt; util/MealPeriodHelper.kt; AndroidManifest.xml; apidocs.md. The API notes contain observed and partly inferred behaviour and require vendor confirmation.</w:t>
      </w:r>
    </w:p>
    <w:sectPr w:rsidR="00FC693F" w:rsidRPr="0006063C" w:rsidSect="00034616">
      <w:footerReference w:type="default" r:id="rId9"/>
      <w:pgSz w:w="11909" w:h="16834"/>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VITeats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Arial" w:hAnsi="Arial"/>
      <w:b/>
      <w:bCs/>
      <w:color w:val="6740B3"/>
      <w:sz w:val="4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6740B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200"/>
      <w:contextualSpacing/>
    </w:pPr>
    <w:rPr>
      <w:rFonts w:asciiTheme="majorHAnsi" w:eastAsiaTheme="majorEastAsia" w:hAnsiTheme="majorHAnsi" w:cstheme="majorBidi" w:ascii="Arial" w:hAnsi="Arial"/>
      <w:b/>
      <w:color w:val="12121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740B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VITeats - Usage and Hostel Implementation Guide</dc:title>
  <dc:subject>Student instructions and proposed hostel deployment procedures</dc:subject>
  <dc:creator>VITeats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