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b/>
          <w:color w:val="1F497D"/>
          <w:sz w:val="56"/>
        </w:rPr>
        <w:t>EvidenceLens</w:t>
      </w:r>
    </w:p>
    <w:p>
      <w:pPr>
        <w:spacing w:before="80" w:after="800"/>
        <w:jc w:val="center"/>
      </w:pPr>
      <w:r>
        <w:rPr>
          <w:b w:val="0"/>
          <w:color w:val="595959"/>
          <w:sz w:val="26"/>
        </w:rPr>
        <w:t>Evidence-Weighted, Contradiction-Aware Multi-Document Academic Research Assistant</w:t>
      </w:r>
    </w:p>
    <w:p>
      <w:pPr>
        <w:spacing w:before="0" w:after="800"/>
        <w:jc w:val="center"/>
      </w:pPr>
      <w:r>
        <w:rPr>
          <w:b w:val="0"/>
          <w:color w:val="969696"/>
          <w:sz w:val="22"/>
        </w:rPr>
        <w:t>──────────────────────────────────────────────────</w:t>
      </w:r>
    </w:p>
    <w:p>
      <w:pPr>
        <w:spacing w:before="0" w:after="200"/>
        <w:jc w:val="center"/>
      </w:pPr>
      <w:r>
        <w:rPr>
          <w:b/>
          <w:sz w:val="24"/>
        </w:rPr>
        <w:t>Team Members</w:t>
      </w:r>
    </w:p>
    <w:p>
      <w:pPr>
        <w:spacing w:before="0" w:after="120"/>
        <w:jc w:val="center"/>
      </w:pPr>
      <w:r>
        <w:rPr>
          <w:b w:val="0"/>
          <w:sz w:val="24"/>
        </w:rPr>
        <w:t>Mohan</w:t>
      </w:r>
    </w:p>
    <w:p>
      <w:pPr>
        <w:spacing w:before="0" w:after="120"/>
        <w:jc w:val="center"/>
      </w:pPr>
      <w:r>
        <w:rPr>
          <w:b w:val="0"/>
          <w:sz w:val="24"/>
        </w:rPr>
        <w:t>Sohan</w:t>
      </w:r>
    </w:p>
    <w:p>
      <w:pPr>
        <w:spacing w:before="0" w:after="120"/>
        <w:jc w:val="center"/>
      </w:pPr>
      <w:r>
        <w:rPr>
          <w:b w:val="0"/>
          <w:sz w:val="24"/>
        </w:rPr>
        <w:t>Rohan</w:t>
      </w:r>
    </w:p>
    <w:p>
      <w:pPr>
        <w:spacing w:before="0" w:after="120"/>
        <w:jc w:val="center"/>
      </w:pPr>
      <w:r>
        <w:rPr>
          <w:b w:val="0"/>
          <w:sz w:val="24"/>
        </w:rPr>
        <w:t>Lohan</w:t>
      </w:r>
    </w:p>
    <w:p>
      <w:r>
        <w:br w:type="page"/>
      </w:r>
    </w:p>
    <w:p>
      <w:pPr>
        <w:pStyle w:val="Heading1"/>
        <w:spacing w:before="240" w:after="120"/>
      </w:pPr>
      <w:r>
        <w:t>1. Introduction</w:t>
      </w:r>
    </w:p>
    <w:p>
      <w:pPr>
        <w:spacing w:after="160"/>
      </w:pPr>
      <w:r>
        <w:rPr>
          <w:sz w:val="22"/>
        </w:rPr>
        <w:t>The exponential growth of academic literature has made manual synthesis of research findings increasingly infeasible. Researchers and students routinely need to synthesize hundreds of papers to answer a single research question, yet existing tools fail to address two fundamental problems inherent in multi-document academic synthesis: the concealment of contradictory findings and the equal treatment of evidence of vastly different quality.</w:t>
      </w:r>
    </w:p>
    <w:p>
      <w:pPr>
        <w:spacing w:after="160"/>
      </w:pPr>
      <w:r>
        <w:rPr>
          <w:sz w:val="22"/>
        </w:rPr>
        <w:t>Conventional Retrieval-Augmented Generation (RAG) systems retrieve relevant passages from a document corpus and pass them to a Large Language Model (LLM) to produce a summary. While this approach produces fluent, readable output, it systematically produces a 'consensus illusion' — blending contradictory findings into a single narrative and treating a 12-participant pilot study with the same epistemic weight as a meta-analysis of 10,000 participants.</w:t>
      </w:r>
    </w:p>
    <w:p>
      <w:pPr>
        <w:spacing w:after="160"/>
      </w:pPr>
      <w:r>
        <w:rPr>
          <w:sz w:val="22"/>
        </w:rPr>
        <w:t>EvidenceLens is proposed as a contradiction-aware, evidence-weighted academic research assistant that addresses these shortcomings. By extracting structured claims, detecting inter-paper contradictions, and computing transparent evidence weights based on study design and sample size, EvidenceLens produces an evidence-aware synthesis that reflects the true state of the literature — including its disagreements. This document presents the objectives, a review of related literature, the identified research gaps that motivate this work, and supporting references.</w:t>
      </w:r>
    </w:p>
    <w:p>
      <w:pPr>
        <w:pStyle w:val="Heading1"/>
        <w:spacing w:before="240" w:after="120"/>
      </w:pPr>
      <w:r>
        <w:t>2. Objectives</w:t>
      </w:r>
    </w:p>
    <w:p>
      <w:pPr>
        <w:spacing w:before="0" w:after="120"/>
        <w:jc w:val="left"/>
      </w:pPr>
      <w:r>
        <w:rPr>
          <w:b w:val="0"/>
          <w:sz w:val="22"/>
        </w:rPr>
        <w:t>The primary objectives of EvidenceLens are:</w:t>
      </w:r>
    </w:p>
    <w:p>
      <w:pPr>
        <w:spacing w:before="120" w:after="80"/>
      </w:pPr>
      <w:r>
        <w:rPr>
          <w:b/>
          <w:sz w:val="22"/>
        </w:rPr>
        <w:t xml:space="preserve">O1 — Contradiction Detection: </w:t>
      </w:r>
      <w:r>
        <w:rPr>
          <w:sz w:val="22"/>
        </w:rPr>
        <w:t>To design and implement a pipeline capable of automatically identifying contradictory, supporting, and neutral claim-pairs across multiple academic papers, using claim normalization, semantic similarity, and Natural Language Inference (NLI) classification.</w:t>
      </w:r>
    </w:p>
    <w:p>
      <w:pPr>
        <w:spacing w:before="120" w:after="80"/>
      </w:pPr>
      <w:r>
        <w:rPr>
          <w:b/>
          <w:sz w:val="22"/>
        </w:rPr>
        <w:t xml:space="preserve">O2 — Evidence Weighting: </w:t>
      </w:r>
      <w:r>
        <w:rPr>
          <w:sz w:val="22"/>
        </w:rPr>
        <w:t>To develop a transparent, interpretable evidence-scoring model that assigns relative weights to claims based on study design (meta-analysis, RCT, cohort, pilot, etc.), sample size, and available statistical indicators such as p-values and effect sizes.</w:t>
      </w:r>
    </w:p>
    <w:p>
      <w:pPr>
        <w:spacing w:before="120" w:after="80"/>
      </w:pPr>
      <w:r>
        <w:rPr>
          <w:b/>
          <w:sz w:val="22"/>
        </w:rPr>
        <w:t xml:space="preserve">O3 — Evidence-Aware Synthesis: </w:t>
      </w:r>
      <w:r>
        <w:rPr>
          <w:sz w:val="22"/>
        </w:rPr>
        <w:t>To generate LLM-driven literature syntheses that are conditioned on structured evidence rather than raw retrieved text, ensuring that the final answer communicates both the dominant finding and the degree of inter-study agreement or disagreement.</w:t>
      </w:r>
    </w:p>
    <w:p>
      <w:pPr>
        <w:spacing w:before="120" w:after="80"/>
      </w:pPr>
      <w:r>
        <w:rPr>
          <w:b/>
          <w:sz w:val="22"/>
        </w:rPr>
        <w:t xml:space="preserve">O4 — Structured Claim Extraction: </w:t>
      </w:r>
      <w:r>
        <w:rPr>
          <w:sz w:val="22"/>
        </w:rPr>
        <w:t>To extract and represent research claims in a structured format (Population, Intervention, Outcome, Direction, Effect) that enables reliable comparison across papers using different surface-level phrasing.</w:t>
      </w:r>
    </w:p>
    <w:p>
      <w:pPr>
        <w:spacing w:before="120" w:after="80"/>
      </w:pPr>
      <w:r>
        <w:rPr>
          <w:b/>
          <w:sz w:val="22"/>
        </w:rPr>
        <w:t xml:space="preserve">O5 — Source Traceability: </w:t>
      </w:r>
      <w:r>
        <w:rPr>
          <w:sz w:val="22"/>
        </w:rPr>
        <w:t>To maintain full traceability from every synthesized claim back to its source paper, page, and section, thereby supporting academic accountability and enabling users to inspect primary sources.</w:t>
      </w:r>
    </w:p>
    <w:p>
      <w:pPr>
        <w:spacing w:before="120" w:after="80"/>
      </w:pPr>
      <w:r>
        <w:rPr>
          <w:b/>
          <w:sz w:val="22"/>
        </w:rPr>
        <w:t xml:space="preserve">O6 — Baseline Comparison and Ablation: </w:t>
      </w:r>
      <w:r>
        <w:rPr>
          <w:sz w:val="22"/>
        </w:rPr>
        <w:t>To empirically evaluate EvidenceLens against a standard RAG baseline using metrics including Contradiction F1, Evidence Weight Accuracy, and human-rated synthesis usefulness, and to conduct an ablation study isolating the contribution of each component.</w:t>
      </w:r>
    </w:p>
    <w:p>
      <w:pPr>
        <w:spacing w:before="120" w:after="80"/>
      </w:pPr>
      <w:r>
        <w:rPr>
          <w:b/>
          <w:sz w:val="22"/>
        </w:rPr>
        <w:t xml:space="preserve">O7 — Reliability and Explainability: </w:t>
      </w:r>
      <w:r>
        <w:rPr>
          <w:sz w:val="22"/>
        </w:rPr>
        <w:t>To ensure the system never hallucinates study metadata (design, sample size, p-values) and provides a plain-language explanation for every evidence weight assigned.</w:t>
      </w:r>
    </w:p>
    <w:p>
      <w:pPr>
        <w:pStyle w:val="Heading1"/>
        <w:spacing w:before="240" w:after="120"/>
      </w:pPr>
      <w:r>
        <w:t>3. Literature Review</w:t>
      </w:r>
    </w:p>
    <w:p>
      <w:pPr>
        <w:pStyle w:val="Heading2"/>
        <w:spacing w:before="240" w:after="120"/>
      </w:pPr>
      <w:r>
        <w:t>3.1 Retrieval-Augmented Generation (RAG) for Question Answering</w:t>
      </w:r>
    </w:p>
    <w:p>
      <w:pPr>
        <w:spacing w:after="160"/>
      </w:pPr>
      <w:r>
        <w:rPr>
          <w:sz w:val="22"/>
        </w:rPr>
        <w:t>Retrieval-Augmented Generation (RAG), introduced by Lewis et al. (2020), combines dense passage retrieval with a generative LLM to produce grounded, citation-backed answers. RAG became the de facto framework for open-domain question answering and has been widely applied to scientific literature. Systems such as Karpukhin et al.'s Dense Passage Retriever (DPR, 2020) and subsequent reranking approaches (Nogueira &amp; Cho, 2019) have substantially improved retrieval quality. However, these systems retrieve documents as undifferentiated evidence and pass them uniformly to the generator, with no mechanism to flag conflicting content or to differentiate evidence quality.</w:t>
      </w:r>
    </w:p>
    <w:p>
      <w:pPr>
        <w:pStyle w:val="Heading2"/>
        <w:spacing w:before="240" w:after="120"/>
      </w:pPr>
      <w:r>
        <w:t>3.2 Multi-Document Summarization and Synthesis</w:t>
      </w:r>
    </w:p>
    <w:p>
      <w:pPr>
        <w:spacing w:after="160"/>
      </w:pPr>
      <w:r>
        <w:rPr>
          <w:sz w:val="22"/>
        </w:rPr>
        <w:t>Multi-document summarization has been studied extensively (Erkan &amp; Radev, 2004; Barzilay &amp; McKeown, 2005; Liu et al., 2019). Extractive approaches rank and select salient sentences; abstractive models generate novel text. Scientific multi-document summarization systems such as ScisummNet (Yasunaga et al., 2019) and subsequent LLM-based approaches have demonstrated the feasibility of automated literature synthesis. However, these systems do not model inter-document agreement or disagreement as an explicit objective. They optimize for informativeness and fluency, not for faithfully representing the distribution of evidence.</w:t>
      </w:r>
    </w:p>
    <w:p>
      <w:pPr>
        <w:pStyle w:val="Heading2"/>
        <w:spacing w:before="240" w:after="120"/>
      </w:pPr>
      <w:r>
        <w:t>3.3 Natural Language Inference and Claim Comparison</w:t>
      </w:r>
    </w:p>
    <w:p>
      <w:pPr>
        <w:spacing w:after="160"/>
      </w:pPr>
      <w:r>
        <w:rPr>
          <w:sz w:val="22"/>
        </w:rPr>
        <w:t>Natural Language Inference (NLI) — the task of classifying whether a hypothesis is entailed by, contradicted by, or neutral with respect to a premise — provides a direct computational tool for detecting contradictions. Bowman et al. (2015) introduced the Stanford Natural Language Inference (SNLI) corpus; subsequent work produced the MultiNLI dataset (Williams et al., 2018) and strong transformer-based models such as RoBERTa (Liu et al., 2019) and DeBERTa (He et al., 2021). In the scientific domain, SciNLI (Sadat &amp; Caragea, 2022) and MedNLI (Romanov &amp; Shivade, 2018) adapt NLI to biomedical text. EvidenceLens draws on these NLI models to classify claim pairs, but extends them with structured claim normalization to reduce false positives caused by population or context mismatches.</w:t>
      </w:r>
    </w:p>
    <w:p>
      <w:pPr>
        <w:pStyle w:val="Heading2"/>
        <w:spacing w:before="240" w:after="120"/>
      </w:pPr>
      <w:r>
        <w:t>3.4 Contradiction and Inconsistency Detection in NLP</w:t>
      </w:r>
    </w:p>
    <w:p>
      <w:pPr>
        <w:spacing w:after="160"/>
      </w:pPr>
      <w:r>
        <w:rPr>
          <w:sz w:val="22"/>
        </w:rPr>
        <w:t>Automatic contradiction detection has been explored in factual verification (Thorne et al., 2018 — FEVER benchmark), dialogue systems, and summarization faithfulness (Maynez et al., 2020). In scientific literature, Achakulvisut et al. (2019) and subsequent work have applied NLP to detect inconsistencies within biomedical abstracts. Wadden et al. (2020) introduced SciFact, a scientific fact-checking dataset pairing claims with supporting or refuting abstracts. These efforts focus primarily on single-document or abstract-level verification, not on systematic cross-document contradiction mining across a user-supplied corpus.</w:t>
      </w:r>
    </w:p>
    <w:p>
      <w:pPr>
        <w:pStyle w:val="Heading2"/>
        <w:spacing w:before="240" w:after="120"/>
      </w:pPr>
      <w:r>
        <w:t>3.5 Evidence Grading and Systematic Review Methodology</w:t>
      </w:r>
    </w:p>
    <w:p>
      <w:pPr>
        <w:spacing w:after="160"/>
      </w:pPr>
      <w:r>
        <w:rPr>
          <w:sz w:val="22"/>
        </w:rPr>
        <w:t>Evidence-based medicine has long employed formal hierarchies for grading research evidence. The Oxford Centre for Evidence-Based Medicine (OCEBM) Levels of Evidence and the GRADE framework (Guyatt et al., 2008) classify study designs from meta-analysis (highest) to expert opinion (lowest) and incorporate sample size, risk of bias, and consistency of results. Cochrane Systematic Reviews (Higgins &amp; Green, 2011) represent the gold standard of evidence synthesis but require extensive expert labor. EvidenceLens draws on this methodological tradition to automate a simplified, transparent evidence-scoring model.</w:t>
      </w:r>
    </w:p>
    <w:p>
      <w:pPr>
        <w:pStyle w:val="Heading2"/>
        <w:spacing w:before="240" w:after="120"/>
      </w:pPr>
      <w:r>
        <w:t>3.6 Automated Study Design and Metadata Extraction</w:t>
      </w:r>
    </w:p>
    <w:p>
      <w:pPr>
        <w:spacing w:after="160"/>
      </w:pPr>
      <w:r>
        <w:rPr>
          <w:sz w:val="22"/>
        </w:rPr>
        <w:t>Extracting structured metadata from research papers — including study design, sample size, and statistical outcomes — is a well-studied problem in biomedical NLP. Marshall et al. (2015) developed tools to automate Cochrane-style data extraction. The EBM-NLP dataset (Nye et al., 2018) provides annotated span-level labels for Population, Intervention, Comparator, and Outcome (PICO) elements. Subsequent transformer-based models have achieved high accuracy on PICO extraction. EvidenceLens builds on this line of work, adapting PICO-style extraction to a broader multi-domain academic setting beyond biomedicine.</w:t>
      </w:r>
    </w:p>
    <w:p>
      <w:pPr>
        <w:pStyle w:val="Heading2"/>
        <w:spacing w:before="240" w:after="120"/>
      </w:pPr>
      <w:r>
        <w:t>3.7 Hallucination and Faithfulness in LLM-Generated Summaries</w:t>
      </w:r>
    </w:p>
    <w:p>
      <w:pPr>
        <w:spacing w:after="160"/>
      </w:pPr>
      <w:r>
        <w:rPr>
          <w:sz w:val="22"/>
        </w:rPr>
        <w:t>A significant concern with LLM-based synthesis is hallucination — generating claims not supported by source documents (Ji et al., 2023; Maynez et al., 2020). Factual consistency evaluation benchmarks such as FactCC (Kryscinski et al., 2020) and SummaC (Laban et al., 2022) have been developed to quantify this risk. EvidenceLens mitigates hallucination by conditioning synthesis strictly on structured, extracted claims rather than raw retrieved text, and by prohibiting the system from inferring study metadata that cannot be directly extracted.</w:t>
      </w:r>
    </w:p>
    <w:p>
      <w:pPr>
        <w:pStyle w:val="Heading2"/>
        <w:spacing w:before="240" w:after="120"/>
      </w:pPr>
      <w:r>
        <w:t>3.8 Scientific Question Answering Systems</w:t>
      </w:r>
    </w:p>
    <w:p>
      <w:pPr>
        <w:spacing w:after="160"/>
      </w:pPr>
      <w:r>
        <w:rPr>
          <w:sz w:val="22"/>
        </w:rPr>
        <w:t>Systems such as BioASQ (Tsatsaronis et al., 2015), PubMedQA (Jin et al., 2019), and COVID-QA (Möller et al., 2020) have established benchmarks for scientific QA. More recent systems leveraging GPT-4 and domain-specific embeddings (e.g., BioMedLM, PubMedBERT) have pushed accuracy on these benchmarks. These systems focus on retrieval precision and answer accuracy; none explicitly models inter-paper contradiction or assigns differential evidence weights to retrieved passages.</w:t>
      </w:r>
    </w:p>
    <w:p>
      <w:pPr>
        <w:pStyle w:val="Heading1"/>
        <w:spacing w:before="240" w:after="120"/>
      </w:pPr>
      <w:r>
        <w:t>4. Research Gaps</w:t>
      </w:r>
    </w:p>
    <w:p>
      <w:pPr>
        <w:spacing w:before="0" w:after="160"/>
        <w:jc w:val="left"/>
      </w:pPr>
      <w:r>
        <w:rPr>
          <w:b w:val="0"/>
          <w:sz w:val="22"/>
        </w:rPr>
        <w:t>The following critical gaps in the existing literature motivate the development of EvidenceLens:</w:t>
      </w:r>
    </w:p>
    <w:p>
      <w:pPr>
        <w:spacing w:before="160" w:after="80"/>
      </w:pPr>
      <w:r>
        <w:rPr>
          <w:b/>
          <w:sz w:val="22"/>
        </w:rPr>
        <w:t xml:space="preserve">Gap 1 — Contradiction Blindness in RAG Systems: </w:t>
      </w:r>
      <w:r>
        <w:rPr>
          <w:sz w:val="22"/>
        </w:rPr>
        <w:t>Existing RAG-based literature assistants do not detect or surface inter-paper contradictions. When retrieved papers disagree, the LLM synthesizer conflates opposing findings into a misleading consensus narrative. No widely deployed academic RAG system explicitly models contradiction as a first-class output.</w:t>
      </w:r>
    </w:p>
    <w:p>
      <w:pPr>
        <w:spacing w:before="160" w:after="80"/>
      </w:pPr>
      <w:r>
        <w:rPr>
          <w:b/>
          <w:sz w:val="22"/>
        </w:rPr>
        <w:t xml:space="preserve">Gap 2 — Absence of Evidence Differentiation: </w:t>
      </w:r>
      <w:r>
        <w:rPr>
          <w:sz w:val="22"/>
        </w:rPr>
        <w:t>Current systems treat all retrieved passages as epistemically equivalent, regardless of whether they originate from a meta-analysis of 50,000 participants or a case study of 8. There is no published RAG-based academic assistant that integrates a transparent, evidence-hierarchy-driven weighting mechanism into the synthesis pipeline.</w:t>
      </w:r>
    </w:p>
    <w:p>
      <w:pPr>
        <w:spacing w:before="160" w:after="80"/>
      </w:pPr>
      <w:r>
        <w:rPr>
          <w:b/>
          <w:sz w:val="22"/>
        </w:rPr>
        <w:t xml:space="preserve">Gap 3 — Lack of Cross-Document Claim Normalization: </w:t>
      </w:r>
      <w:r>
        <w:rPr>
          <w:sz w:val="22"/>
        </w:rPr>
        <w:t>Paraphrase and terminology variation across papers prevent naive string-matching approaches from identifying related claims. Existing NLI models are applied at the sentence level without structured intermediate representations (e.g., PICO), leading to high false-positive and false-negative rates in cross-paper comparison. EvidenceLens addresses this by introducing structured claim normalization before contradiction classification.</w:t>
      </w:r>
    </w:p>
    <w:p>
      <w:pPr>
        <w:spacing w:before="160" w:after="80"/>
      </w:pPr>
      <w:r>
        <w:rPr>
          <w:b/>
          <w:sz w:val="22"/>
        </w:rPr>
        <w:t xml:space="preserve">Gap 4 — Domain Limitation of Scientific NLI Resources: </w:t>
      </w:r>
      <w:r>
        <w:rPr>
          <w:sz w:val="22"/>
        </w:rPr>
        <w:t>Scientific NLI datasets (SciNLI, MedNLI) are primarily biomedical. Contradiction detection in multi-domain academic literature — covering social sciences, education, psychology, and engineering — remains underexplored. EvidenceLens targets a general academic setting rather than a single domain.</w:t>
      </w:r>
    </w:p>
    <w:p>
      <w:pPr>
        <w:spacing w:before="160" w:after="80"/>
      </w:pPr>
      <w:r>
        <w:rPr>
          <w:b/>
          <w:sz w:val="22"/>
        </w:rPr>
        <w:t xml:space="preserve">Gap 5 — No Automated, Transparent Evidence Scoring for General Academic Literature: </w:t>
      </w:r>
      <w:r>
        <w:rPr>
          <w:sz w:val="22"/>
        </w:rPr>
        <w:t>Formal evidence grading frameworks (GRADE, OCEBM) are applied manually by domain experts and are largely restricted to clinical medicine. Automated evidence scoring for general academic research — using study design taxonomy, sample size, and statistical evidence — does not exist in a form integrated into an interactive research assistant.</w:t>
      </w:r>
    </w:p>
    <w:p>
      <w:pPr>
        <w:spacing w:before="160" w:after="80"/>
      </w:pPr>
      <w:r>
        <w:rPr>
          <w:b/>
          <w:sz w:val="22"/>
        </w:rPr>
        <w:t xml:space="preserve">Gap 6 — Absence of Ablation-Validated Contradiction-Aware Synthesis: </w:t>
      </w:r>
      <w:r>
        <w:rPr>
          <w:sz w:val="22"/>
        </w:rPr>
        <w:t>While individual components (NLI, RAG, metadata extraction) have been studied in isolation, no published system has integrated them into an end-to-end contradiction-aware synthesis pipeline and validated each component's contribution through a rigorous ablation study comparing standard RAG, RAG + contradiction detection, and RAG + contradiction detection + evidence weighting.</w:t>
      </w:r>
    </w:p>
    <w:p>
      <w:pPr>
        <w:spacing w:before="160" w:after="80"/>
      </w:pPr>
      <w:r>
        <w:rPr>
          <w:b/>
          <w:sz w:val="22"/>
        </w:rPr>
        <w:t xml:space="preserve">Gap 7 — Source Traceability at the Claim Level: </w:t>
      </w:r>
      <w:r>
        <w:rPr>
          <w:sz w:val="22"/>
        </w:rPr>
        <w:t>Most RAG systems trace answers to retrieved chunks or documents. Claim-level traceability — linking each atomic finding in a synthesis back to a specific sentence, page, and section of a source paper — is absent from existing academic research assistants, limiting academic accountability and user trust.</w:t>
      </w:r>
    </w:p>
    <w:p>
      <w:pPr>
        <w:pStyle w:val="Heading1"/>
        <w:spacing w:before="240" w:after="120"/>
      </w:pPr>
      <w:r>
        <w:t>5. References</w:t>
      </w:r>
    </w:p>
    <w:p>
      <w:pPr>
        <w:spacing w:after="80"/>
        <w:ind w:left="400" w:hanging="400"/>
      </w:pPr>
      <w:r>
        <w:rPr>
          <w:sz w:val="20"/>
        </w:rPr>
        <w:t>[1] Achakulvisut, T., Acuna, D. E., Bhatt, U., &amp; Kording, K. (2019). Claim extraction in biomedical publications using deep discourse model and transfer learning. arXiv preprint arXiv:1907.00962.</w:t>
      </w:r>
    </w:p>
    <w:p>
      <w:pPr>
        <w:spacing w:after="80"/>
        <w:ind w:left="400" w:hanging="400"/>
      </w:pPr>
      <w:r>
        <w:rPr>
          <w:sz w:val="20"/>
        </w:rPr>
        <w:t>[2] Barzilay, R., &amp; McKeown, K. (2005). Sentence fusion for multidocument news summarization. Computational Linguistics, 31(3), 297–328.</w:t>
      </w:r>
    </w:p>
    <w:p>
      <w:pPr>
        <w:spacing w:after="80"/>
        <w:ind w:left="400" w:hanging="400"/>
      </w:pPr>
      <w:r>
        <w:rPr>
          <w:sz w:val="20"/>
        </w:rPr>
        <w:t>[3] Bowman, S. R., Angeli, G., Potts, C., &amp; Manning, C. D. (2015). A large annotated corpus for learning natural language inference. EMNLP.</w:t>
      </w:r>
    </w:p>
    <w:p>
      <w:pPr>
        <w:spacing w:after="80"/>
        <w:ind w:left="400" w:hanging="400"/>
      </w:pPr>
      <w:r>
        <w:rPr>
          <w:sz w:val="20"/>
        </w:rPr>
        <w:t>[4] Erkan, G., &amp; Radev, D. R. (2004). LexRank: Graph-based lexical centrality as salience in text summarization. Journal of Artificial Intelligence Research, 22, 457–479.</w:t>
      </w:r>
    </w:p>
    <w:p>
      <w:pPr>
        <w:spacing w:after="80"/>
        <w:ind w:left="400" w:hanging="400"/>
      </w:pPr>
      <w:r>
        <w:rPr>
          <w:sz w:val="20"/>
        </w:rPr>
        <w:t>[5] Guyatt, G., Oxman, A. D., Vist, G. E., et al. (2008). GRADE: An emerging consensus on rating quality of evidence and strength of recommendations. BMJ, 336(7650), 924–926.</w:t>
      </w:r>
    </w:p>
    <w:p>
      <w:pPr>
        <w:spacing w:after="80"/>
        <w:ind w:left="400" w:hanging="400"/>
      </w:pPr>
      <w:r>
        <w:rPr>
          <w:sz w:val="20"/>
        </w:rPr>
        <w:t>[6] He, P., Liu, X., Gao, J., &amp; Chen, W. (2021). DeBERTa: Decoding-enhanced BERT with Disentangled Attention. ICLR 2021.</w:t>
      </w:r>
    </w:p>
    <w:p>
      <w:pPr>
        <w:spacing w:after="80"/>
        <w:ind w:left="400" w:hanging="400"/>
      </w:pPr>
      <w:r>
        <w:rPr>
          <w:sz w:val="20"/>
        </w:rPr>
        <w:t>[7] Higgins, J. P. T., &amp; Green, S. (Eds.). (2011). Cochrane Handbook for Systematic Reviews of Interventions. Version 5.1.0. The Cochrane Collaboration.</w:t>
      </w:r>
    </w:p>
    <w:p>
      <w:pPr>
        <w:spacing w:after="80"/>
        <w:ind w:left="400" w:hanging="400"/>
      </w:pPr>
      <w:r>
        <w:rPr>
          <w:sz w:val="20"/>
        </w:rPr>
        <w:t>[8] Ji, Z., Lee, N., Frieske, R., et al. (2023). Survey of hallucination in natural language generation. ACM Computing Surveys, 55(12), 1–38.</w:t>
      </w:r>
    </w:p>
    <w:p>
      <w:pPr>
        <w:spacing w:after="80"/>
        <w:ind w:left="400" w:hanging="400"/>
      </w:pPr>
      <w:r>
        <w:rPr>
          <w:sz w:val="20"/>
        </w:rPr>
        <w:t>[9] Jin, Q., Dhingra, B., Liu, Z., Cohen, W. W., &amp; Lu, X. (2019). PubMedQA: A dataset for biomedical research question answering. EMNLP.</w:t>
      </w:r>
    </w:p>
    <w:p>
      <w:pPr>
        <w:spacing w:after="80"/>
        <w:ind w:left="400" w:hanging="400"/>
      </w:pPr>
      <w:r>
        <w:rPr>
          <w:sz w:val="20"/>
        </w:rPr>
        <w:t>[10] Karpukhin, V., Oguz, B., Min, S., et al. (2020). Dense Passage Retrieval for Open-Domain Question Answering. EMNLP.</w:t>
      </w:r>
    </w:p>
    <w:p>
      <w:pPr>
        <w:spacing w:after="80"/>
        <w:ind w:left="400" w:hanging="400"/>
      </w:pPr>
      <w:r>
        <w:rPr>
          <w:sz w:val="20"/>
        </w:rPr>
        <w:t>[11] Kryscinski, W., McCann, B., Xiong, C., &amp; Socher, R. (2020). Evaluating the factual consistency of abstractive text summarization. EMNLP.</w:t>
      </w:r>
    </w:p>
    <w:p>
      <w:pPr>
        <w:spacing w:after="80"/>
        <w:ind w:left="400" w:hanging="400"/>
      </w:pPr>
      <w:r>
        <w:rPr>
          <w:sz w:val="20"/>
        </w:rPr>
        <w:t>[12] Laban, P., Schnabel, T., Bennett, P. N., &amp; Hearst, M. A. (2022). SummaC: Re-visiting NLI-based models for inconsistency detection in summarization. TACL, 10, 163–177.</w:t>
      </w:r>
    </w:p>
    <w:p>
      <w:pPr>
        <w:spacing w:after="80"/>
        <w:ind w:left="400" w:hanging="400"/>
      </w:pPr>
      <w:r>
        <w:rPr>
          <w:sz w:val="20"/>
        </w:rPr>
        <w:t>[13] Lewis, P., Perez, E., Piktus, A., et al. (2020). Retrieval-augmented generation for knowledge-intensive NLP tasks. NeurIPS.</w:t>
      </w:r>
    </w:p>
    <w:p>
      <w:pPr>
        <w:spacing w:after="80"/>
        <w:ind w:left="400" w:hanging="400"/>
      </w:pPr>
      <w:r>
        <w:rPr>
          <w:sz w:val="20"/>
        </w:rPr>
        <w:t>[14] Liu, Y., Ott, M., Goyal, N., et al. (2019). RoBERTa: A robustly optimized BERT pretraining approach. arXiv preprint arXiv:1907.11692.</w:t>
      </w:r>
    </w:p>
    <w:p>
      <w:pPr>
        <w:spacing w:after="80"/>
        <w:ind w:left="400" w:hanging="400"/>
      </w:pPr>
      <w:r>
        <w:rPr>
          <w:sz w:val="20"/>
        </w:rPr>
        <w:t>[15] Marshall, I. J., Kuiper, J., &amp; Wallace, B. C. (2015). RobotReviewer: Evaluation of a system for automatically assessing bias in clinical trials. Journal of the American Medical Informatics Association, 23(1), 193–201.</w:t>
      </w:r>
    </w:p>
    <w:p>
      <w:pPr>
        <w:spacing w:after="80"/>
        <w:ind w:left="400" w:hanging="400"/>
      </w:pPr>
      <w:r>
        <w:rPr>
          <w:sz w:val="20"/>
        </w:rPr>
        <w:t>[16] Maynez, J., Narayan, S., Bohnet, B., &amp; McDonald, R. (2020). On faithfulness and factuality in abstractive summarization. ACL.</w:t>
      </w:r>
    </w:p>
    <w:p>
      <w:pPr>
        <w:spacing w:after="80"/>
        <w:ind w:left="400" w:hanging="400"/>
      </w:pPr>
      <w:r>
        <w:rPr>
          <w:sz w:val="20"/>
        </w:rPr>
        <w:t>[17] Möller, T., Reina, A., Rachidi, R., &amp; Ghassemi, M. (2020). COVID-QA: A question answering dataset for COVID-19. ACL Workshop.</w:t>
      </w:r>
    </w:p>
    <w:p>
      <w:pPr>
        <w:spacing w:after="80"/>
        <w:ind w:left="400" w:hanging="400"/>
      </w:pPr>
      <w:r>
        <w:rPr>
          <w:sz w:val="20"/>
        </w:rPr>
        <w:t>[18] Nogueira, R., &amp; Cho, K. (2019). Passage re-ranking with BERT. arXiv preprint arXiv:1901.04085.</w:t>
      </w:r>
    </w:p>
    <w:p>
      <w:pPr>
        <w:spacing w:after="80"/>
        <w:ind w:left="400" w:hanging="400"/>
      </w:pPr>
      <w:r>
        <w:rPr>
          <w:sz w:val="20"/>
        </w:rPr>
        <w:t>[19] Nye, B., Li, J. J., Patel, R., et al. (2018). A corpus with multi-level annotations of patients, interventions and outcomes to support language processing for medical literature. ACL.</w:t>
      </w:r>
    </w:p>
    <w:p>
      <w:pPr>
        <w:spacing w:after="80"/>
        <w:ind w:left="400" w:hanging="400"/>
      </w:pPr>
      <w:r>
        <w:rPr>
          <w:sz w:val="20"/>
        </w:rPr>
        <w:t>[20] Romanov, A., &amp; Shivade, C. (2018). Lessons from natural language inference in the clinical domain. EMNLP.</w:t>
      </w:r>
    </w:p>
    <w:p>
      <w:pPr>
        <w:spacing w:after="80"/>
        <w:ind w:left="400" w:hanging="400"/>
      </w:pPr>
      <w:r>
        <w:rPr>
          <w:sz w:val="20"/>
        </w:rPr>
        <w:t>[21] Sadat, M. J., &amp; Caragea, C. (2022). SciNLI: A corpus for natural language inference on scientific text. ACL.</w:t>
      </w:r>
    </w:p>
    <w:p>
      <w:pPr>
        <w:spacing w:after="80"/>
        <w:ind w:left="400" w:hanging="400"/>
      </w:pPr>
      <w:r>
        <w:rPr>
          <w:sz w:val="20"/>
        </w:rPr>
        <w:t>[22] Thorne, J., Vlachos, A., Christodoulopoulos, C., &amp; Mittal, A. (2018). FEVER: A large-scale dataset for fact extraction and verification. NAACL.</w:t>
      </w:r>
    </w:p>
    <w:p>
      <w:pPr>
        <w:spacing w:after="80"/>
        <w:ind w:left="400" w:hanging="400"/>
      </w:pPr>
      <w:r>
        <w:rPr>
          <w:sz w:val="20"/>
        </w:rPr>
        <w:t>[23] Tsatsaronis, G., Balikas, G., Malakasiotis, P., et al. (2015). An overview of the BIOASQ large-scale biomedical semantic indexing and question answering competition. BMC Bioinformatics, 16(1), 138.</w:t>
      </w:r>
    </w:p>
    <w:p>
      <w:pPr>
        <w:spacing w:after="80"/>
        <w:ind w:left="400" w:hanging="400"/>
      </w:pPr>
      <w:r>
        <w:rPr>
          <w:sz w:val="20"/>
        </w:rPr>
        <w:t>[24] Wadden, D., Lin, S., Lo, K., et al. (2020). Fact or fiction: Verifying scientific claims. EMNLP.</w:t>
      </w:r>
    </w:p>
    <w:p>
      <w:pPr>
        <w:spacing w:after="80"/>
        <w:ind w:left="400" w:hanging="400"/>
      </w:pPr>
      <w:r>
        <w:rPr>
          <w:sz w:val="20"/>
        </w:rPr>
        <w:t>[25] Williams, A., Nangia, N., &amp; Bowman, S. R. (2018). A broad-coverage challenge corpus for sentence understanding through inference. NAACL.</w:t>
      </w:r>
    </w:p>
    <w:p>
      <w:pPr>
        <w:spacing w:after="80"/>
        <w:ind w:left="400" w:hanging="400"/>
      </w:pPr>
      <w:r>
        <w:rPr>
          <w:sz w:val="20"/>
        </w:rPr>
        <w:t>[26] Yasunaga, M., Kasai, J., Zhang, R., et al. (2019). ScisummNet: A large annotated corpus and content-impact models for scientific paper summarization with citation networks. AAAI.</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