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5c3a1e"/>
          <w:sz w:val="56"/>
          <w:szCs w:val="56"/>
        </w:rPr>
        <w:t xml:space="preserve">A SCHOOL OF PAINTING</w:t>
      </w:r>
    </w:p>
    <w:p>
      <w:pPr>
        <w:spacing w:after="100" w:before="200"/>
        <w:jc w:val="center"/>
      </w:pPr>
      <w:r>
        <w:rPr>
          <w:i/>
          <w:iCs/>
          <w:color w:val="8a5a2a"/>
          <w:sz w:val="28"/>
          <w:szCs w:val="28"/>
        </w:rPr>
        <w:t xml:space="preserve">A Liberal Arts Handbook Centred on Art</w:t>
      </w:r>
    </w:p>
    <w:p>
      <w:pPr>
        <w:spacing w:after="1600" w:before="60"/>
        <w:jc w:val="center"/>
      </w:pPr>
      <w:r>
        <w:rPr>
          <w:color w:val="666666"/>
          <w:sz w:val="22"/>
          <w:szCs w:val="22"/>
        </w:rPr>
        <w:t xml:space="preserve">The History of Art as a Major, with Nine Supporting Minors</w:t>
      </w:r>
    </w:p>
    <w:p>
      <w:pPr>
        <w:pBdr>
          <w:bottom w:val="single" w:color="999999" w:sz="6" w:space="1"/>
        </w:pBdr>
        <w:spacing w:after="200"/>
      </w:pPr>
    </w:p>
    <w:p>
      <w:pPr>
        <w:spacing w:before="1200"/>
        <w:jc w:val="center"/>
      </w:pPr>
      <w:r>
        <w:rPr>
          <w:sz w:val="22"/>
          <w:szCs w:val="22"/>
        </w:rPr>
        <w:t xml:space="preserve">A Personal Curriculum &amp; Study Handbook</w:t>
      </w:r>
    </w:p>
    <w:p>
      <w:pPr>
        <w:spacing w:before="80"/>
        <w:jc w:val="center"/>
      </w:pPr>
      <w:r>
        <w:rPr>
          <w:color w:val="666666"/>
          <w:sz w:val="18"/>
          <w:szCs w:val="18"/>
        </w:rPr>
        <w:t xml:space="preserve">Philosophy · Literature · History · Geography · Ecology · Biology &amp; Anatomy · Theology · Astrology · Language</w:t>
      </w:r>
    </w:p>
    <w:p>
      <w:pPr>
        <w:pStyle w:val="Heading1"/>
        <w:pageBreakBefore/>
        <w:spacing w:after="240" w:before="200"/>
      </w:pPr>
      <w:r>
        <w:rPr>
          <w:b/>
          <w:bCs/>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240" w:before="200"/>
      </w:pPr>
      <w:r>
        <w:rPr>
          <w:b/>
          <w:bCs/>
        </w:rPr>
        <w:t xml:space="preserve">Preface — The Philosophy</w:t>
      </w:r>
    </w:p>
    <w:p>
      <w:pPr>
        <w:spacing w:after="200"/>
      </w:pPr>
      <w:r>
        <w:rPr>
          <w:i/>
          <w:iCs/>
          <w:color w:val="555555"/>
          <w:sz w:val="24"/>
          <w:szCs w:val="24"/>
        </w:rPr>
        <w:t xml:space="preserve">Every subject in this handbook exists to answer one question: why did artists make the work they made?</w:t>
      </w:r>
    </w:p>
    <w:p>
      <w:pPr>
        <w:spacing w:after="160" w:line="276"/>
        <w:jc w:val="both"/>
      </w:pPr>
      <w:r>
        <w:rPr>
          <w:i w:val="false"/>
          <w:iCs w:val="false"/>
          <w:sz w:val="22"/>
          <w:szCs w:val="22"/>
        </w:rPr>
        <w:t xml:space="preserve">This handbook is not a study plan in the ordinary sense. It is the outline of a private liberal arts education — your own School of Painting — in which every subject is chosen because it changes how you see, and therefore how you paint. A study plan lists tasks to complete. An education changes the mind doing the looking.</w:t>
      </w:r>
    </w:p>
    <w:p>
      <w:pPr>
        <w:spacing w:after="160" w:line="276"/>
        <w:jc w:val="both"/>
      </w:pPr>
      <w:r>
        <w:rPr>
          <w:i w:val="false"/>
          <w:iCs w:val="false"/>
          <w:sz w:val="22"/>
          <w:szCs w:val="22"/>
        </w:rPr>
        <w:t xml:space="preserve">Painting has never existed in isolation. A panel by Giotto cannot be separated from the theology of Assisi. A canvas by Turner cannot be separated from the geology and weather of the English coast. A print by Hokusai reached Paris and rearranged the eye of every Impressionist who saw it. To understand painting is to understand the world that produced it — its beliefs, its books, its politics, its landscapes, its sciences, and its gods.</w:t>
      </w:r>
    </w:p>
    <w:p>
      <w:pPr>
        <w:spacing w:after="160" w:line="276"/>
        <w:jc w:val="both"/>
      </w:pPr>
      <w:r>
        <w:rPr>
          <w:i w:val="false"/>
          <w:iCs w:val="false"/>
          <w:sz w:val="22"/>
          <w:szCs w:val="22"/>
        </w:rPr>
        <w:t xml:space="preserve">This handbook therefore treats Art History as the spine of the course — the Major, occupying the majority of your attention — and surrounds it with nine Minors: Philosophy, Literature, History, Geography, Ecology, Biology and Anatomy, Theology, Astrology, and Language. None of these is decorative. Each answers a specific question a painter eventually asks.</w:t>
      </w:r>
    </w:p>
    <w:p>
      <w:pPr>
        <w:pBdr>
          <w:left w:val="single" w:color="8a5a2a" w:sz="12" w:space="8"/>
        </w:pBdr>
        <w:spacing w:after="60" w:before="160"/>
        <w:ind w:left="500" w:right="500"/>
      </w:pPr>
      <w:r>
        <w:rPr>
          <w:i/>
          <w:iCs/>
          <w:sz w:val="22"/>
          <w:szCs w:val="22"/>
        </w:rPr>
        <w:t xml:space="preserve">We do not see with the eye alone, but with the whole apparatus of the mind behind it.</w:t>
      </w:r>
    </w:p>
    <w:p>
      <w:pPr>
        <w:spacing w:after="200"/>
        <w:ind w:left="500"/>
      </w:pPr>
      <w:r>
        <w:rPr>
          <w:color w:val="666666"/>
          <w:sz w:val="19"/>
          <w:szCs w:val="19"/>
        </w:rPr>
        <w:t xml:space="preserve">— after E.H. Gombrich</w:t>
      </w:r>
    </w:p>
    <w:p>
      <w:pPr>
        <w:spacing w:after="160" w:line="276"/>
        <w:jc w:val="both"/>
      </w:pPr>
      <w:r>
        <w:rPr>
          <w:i w:val="false"/>
          <w:iCs w:val="false"/>
          <w:sz w:val="22"/>
          <w:szCs w:val="22"/>
        </w:rPr>
        <w:t xml:space="preserve">A note on scope: this is a Western-centred canon, because that is the tradition most European and American painting sits within, and because a coherent education needs a spine before it can grow branches. But the West was never sealed off from the rest of the world. Islamic geometry shaped Gothic tracery and Renaissance ornament. Chinese porcelain and painting shaped eighteenth-century taste. Japanese prints reorganised European composition after 1860. Wherever these currents cross the Western story, this handbook marks them, so that the canon is read as it actually happened — as an open, trading, borrowing tradition — rather than as a closed room.</w:t>
      </w:r>
    </w:p>
    <w:p>
      <w:pPr>
        <w:pStyle w:val="Heading1"/>
        <w:pageBreakBefore/>
        <w:spacing w:after="240" w:before="200"/>
      </w:pPr>
      <w:r>
        <w:rPr>
          <w:b/>
          <w:bCs/>
        </w:rPr>
        <w:t xml:space="preserve">How to Use This Handbook</w:t>
      </w:r>
    </w:p>
    <w:p>
      <w:pPr>
        <w:spacing w:after="160" w:line="276"/>
        <w:jc w:val="both"/>
      </w:pPr>
      <w:r>
        <w:rPr>
          <w:i w:val="false"/>
          <w:iCs w:val="false"/>
          <w:sz w:val="22"/>
          <w:szCs w:val="22"/>
        </w:rPr>
        <w:t xml:space="preserve">The handbook is organised in four parts.</w:t>
      </w:r>
    </w:p>
    <w:p>
      <w:pPr>
        <w:spacing w:after="60" w:before="180"/>
      </w:pPr>
      <w:r>
        <w:rPr>
          <w:b/>
          <w:bCs/>
          <w:color w:val="8a5a2a"/>
          <w:sz w:val="19"/>
          <w:szCs w:val="19"/>
        </w:rPr>
        <w:t xml:space="preserve">PART I — THE MAJOR: THE HISTORY OF ART</w:t>
      </w:r>
    </w:p>
    <w:p>
      <w:pPr>
        <w:spacing w:after="160" w:line="276"/>
        <w:jc w:val="both"/>
      </w:pPr>
      <w:r>
        <w:rPr>
          <w:i w:val="false"/>
          <w:iCs w:val="false"/>
          <w:sz w:val="22"/>
          <w:szCs w:val="22"/>
        </w:rPr>
        <w:t xml:space="preserve">This is roughly two-thirds of your study. It moves chronologically from the ancient world to the present, period by period, with the key figures, the ideas at stake, and what to actually look for when you stand in front of a work. A dedicated chapter, East Meets West, gathers the major points of contact between Western and Asian art into one place.</w:t>
      </w:r>
    </w:p>
    <w:p>
      <w:pPr>
        <w:spacing w:after="60" w:before="180"/>
      </w:pPr>
      <w:r>
        <w:rPr>
          <w:b/>
          <w:bCs/>
          <w:color w:val="8a5a2a"/>
          <w:sz w:val="19"/>
          <w:szCs w:val="19"/>
        </w:rPr>
        <w:t xml:space="preserve">PART II — THE NINE MINORS</w:t>
      </w:r>
    </w:p>
    <w:p>
      <w:pPr>
        <w:spacing w:after="160" w:line="276"/>
        <w:jc w:val="both"/>
      </w:pPr>
      <w:r>
        <w:rPr>
          <w:i w:val="false"/>
          <w:iCs w:val="false"/>
          <w:sz w:val="22"/>
          <w:szCs w:val="22"/>
        </w:rPr>
        <w:t xml:space="preserve">Each minor exists to answer a specific question about how artists thought, saw, and worked. Each has a short rationale, a list of core topics, a compact reading list, and one practical exercise that ties the subject back to your own painting.</w:t>
      </w:r>
    </w:p>
    <w:p>
      <w:pPr>
        <w:spacing w:after="60" w:before="180"/>
      </w:pPr>
      <w:r>
        <w:rPr>
          <w:b/>
          <w:bCs/>
          <w:color w:val="8a5a2a"/>
          <w:sz w:val="19"/>
          <w:szCs w:val="19"/>
        </w:rPr>
        <w:t xml:space="preserve">PART III — THE WESTERN CANON, AND THE EAST WITHIN IT</w:t>
      </w:r>
    </w:p>
    <w:p>
      <w:pPr>
        <w:spacing w:after="160" w:line="276"/>
        <w:jc w:val="both"/>
      </w:pPr>
      <w:r>
        <w:rPr>
          <w:i w:val="false"/>
          <w:iCs w:val="false"/>
          <w:sz w:val="22"/>
          <w:szCs w:val="22"/>
        </w:rPr>
        <w:t xml:space="preserve">A single reading and viewing spine — the books, and a note on the Eastern currents that run through it.</w:t>
      </w:r>
    </w:p>
    <w:p>
      <w:pPr>
        <w:spacing w:after="60" w:before="180"/>
      </w:pPr>
      <w:r>
        <w:rPr>
          <w:b/>
          <w:bCs/>
          <w:color w:val="8a5a2a"/>
          <w:sz w:val="19"/>
          <w:szCs w:val="19"/>
        </w:rPr>
        <w:t xml:space="preserve">PART IV — STRUCTURE AND RHYTHM</w:t>
      </w:r>
    </w:p>
    <w:p>
      <w:pPr>
        <w:spacing w:after="160" w:line="276"/>
        <w:jc w:val="both"/>
      </w:pPr>
      <w:r>
        <w:rPr>
          <w:i w:val="false"/>
          <w:iCs w:val="false"/>
          <w:sz w:val="22"/>
          <w:szCs w:val="22"/>
        </w:rPr>
        <w:t xml:space="preserve">A suggested weekly rhythm and a four-year plan for working through the whole handbook without losing momentum.</w:t>
      </w:r>
    </w:p>
    <w:p>
      <w:pPr>
        <w:spacing w:after="160" w:line="276"/>
        <w:jc w:val="both"/>
      </w:pPr>
      <w:r>
        <w:rPr>
          <w:i w:val="false"/>
          <w:iCs w:val="false"/>
          <w:sz w:val="22"/>
          <w:szCs w:val="22"/>
        </w:rPr>
        <w:t xml:space="preserve">There is no correct order beyond the chronology of the Major itself. Read a period of art history, then read the minor that illuminates it — theology alongside Giotto, astrology alongside the Renaissance court, ecology alongside the Barbizon painters, Japanese art alongside Impressionism. The subjects are cross-referenced throughout for this reason.</w:t>
      </w:r>
    </w:p>
    <w:p>
      <w:pPr>
        <w:pStyle w:val="Heading1"/>
        <w:pageBreakBefore/>
        <w:spacing w:after="240" w:before="200"/>
      </w:pPr>
      <w:r>
        <w:rPr>
          <w:b/>
          <w:bCs/>
        </w:rPr>
        <w:t xml:space="preserve">Part I — The Major: The History of Art</w:t>
      </w:r>
    </w:p>
    <w:p>
      <w:pPr>
        <w:spacing w:after="200"/>
      </w:pPr>
      <w:r>
        <w:rPr>
          <w:i/>
          <w:iCs/>
          <w:color w:val="555555"/>
          <w:sz w:val="24"/>
          <w:szCs w:val="24"/>
        </w:rPr>
        <w:t xml:space="preserve">Roughly 60–70% of total study. Everything else in this handbook exists to support this spine.</w:t>
      </w:r>
    </w:p>
    <w:p>
      <w:pPr>
        <w:spacing w:after="160" w:line="276"/>
        <w:jc w:val="both"/>
      </w:pPr>
      <w:r>
        <w:rPr>
          <w:i w:val="false"/>
          <w:iCs w:val="false"/>
          <w:sz w:val="22"/>
          <w:szCs w:val="22"/>
        </w:rPr>
        <w:t xml:space="preserve">The Major is arranged chronologically. Each period is treated the same way: the historical situation that produced the work, the artists who defined it, and — most importantly — what to actually look for when standing in front of a painting from that period. Read each chapter alongside the minor subjects flagged within it; art history alone explains what changed, but philosophy, theology, geography and the rest explain why it changed.</w:t>
      </w:r>
    </w:p>
    <w:p>
      <w:pPr>
        <w:pStyle w:val="Heading2"/>
        <w:spacing w:after="140" w:before="320"/>
      </w:pPr>
      <w:r>
        <w:rPr>
          <w:b/>
          <w:bCs/>
        </w:rPr>
        <w:t xml:space="preserve">On How to Look at a Painting</w:t>
      </w:r>
    </w:p>
    <w:p>
      <w:pPr>
        <w:spacing w:after="160" w:line="276"/>
        <w:jc w:val="both"/>
      </w:pPr>
      <w:r>
        <w:rPr>
          <w:i w:val="false"/>
          <w:iCs w:val="false"/>
          <w:sz w:val="22"/>
          <w:szCs w:val="22"/>
        </w:rPr>
        <w:t xml:space="preserve">Before working through the chronology, it is worth fixing a method for looking, since the same six questions apply to every period below and turn passive viewing into active study.</w:t>
      </w:r>
    </w:p>
    <w:p>
      <w:pPr>
        <w:pStyle w:val="ListParagraph"/>
        <w:numPr>
          <w:ilvl w:val="0"/>
          <w:numId w:val="2"/>
        </w:numPr>
        <w:spacing w:after="70"/>
      </w:pPr>
      <w:r>
        <w:rPr>
          <w:sz w:val="22"/>
          <w:szCs w:val="22"/>
        </w:rPr>
        <w:t xml:space="preserve">Function: what was this object for — worship, memory, persuasion, decoration, sale?</w:t>
      </w:r>
    </w:p>
    <w:p>
      <w:pPr>
        <w:pStyle w:val="ListParagraph"/>
        <w:numPr>
          <w:ilvl w:val="0"/>
          <w:numId w:val="2"/>
        </w:numPr>
        <w:spacing w:after="70"/>
      </w:pPr>
      <w:r>
        <w:rPr>
          <w:sz w:val="22"/>
          <w:szCs w:val="22"/>
        </w:rPr>
        <w:t xml:space="preserve">Patron: who paid for it, and what did they want it to say about them?</w:t>
      </w:r>
    </w:p>
    <w:p>
      <w:pPr>
        <w:pStyle w:val="ListParagraph"/>
        <w:numPr>
          <w:ilvl w:val="0"/>
          <w:numId w:val="2"/>
        </w:numPr>
        <w:spacing w:after="70"/>
      </w:pPr>
      <w:r>
        <w:rPr>
          <w:sz w:val="22"/>
          <w:szCs w:val="22"/>
        </w:rPr>
        <w:t xml:space="preserve">Materials: fresco, tempera, oil, panel, canvas — each has a history and a set of constraints</w:t>
      </w:r>
    </w:p>
    <w:p>
      <w:pPr>
        <w:pStyle w:val="ListParagraph"/>
        <w:numPr>
          <w:ilvl w:val="0"/>
          <w:numId w:val="2"/>
        </w:numPr>
        <w:spacing w:after="70"/>
      </w:pPr>
      <w:r>
        <w:rPr>
          <w:sz w:val="22"/>
          <w:szCs w:val="22"/>
        </w:rPr>
        <w:t xml:space="preserve">Composition: where does the eye enter, and where is it led?</w:t>
      </w:r>
    </w:p>
    <w:p>
      <w:pPr>
        <w:pStyle w:val="ListParagraph"/>
        <w:numPr>
          <w:ilvl w:val="0"/>
          <w:numId w:val="2"/>
        </w:numPr>
        <w:spacing w:after="70"/>
      </w:pPr>
      <w:r>
        <w:rPr>
          <w:sz w:val="22"/>
          <w:szCs w:val="22"/>
        </w:rPr>
        <w:t xml:space="preserve">Light: is it describing a real time of day, or serving a symbolic or dramatic purpose?</w:t>
      </w:r>
    </w:p>
    <w:p>
      <w:pPr>
        <w:pStyle w:val="ListParagraph"/>
        <w:numPr>
          <w:ilvl w:val="0"/>
          <w:numId w:val="2"/>
        </w:numPr>
        <w:spacing w:after="70"/>
      </w:pPr>
      <w:r>
        <w:rPr>
          <w:sz w:val="22"/>
          <w:szCs w:val="22"/>
        </w:rPr>
        <w:t xml:space="preserve">Precedent: what earlier work is this painting answering, copying, or rejecting?</w:t>
      </w:r>
    </w:p>
    <w:p>
      <w:pPr>
        <w:spacing w:after="160" w:line="276"/>
        <w:jc w:val="both"/>
      </w:pPr>
      <w:r>
        <w:rPr>
          <w:i w:val="false"/>
          <w:iCs w:val="false"/>
          <w:sz w:val="22"/>
          <w:szCs w:val="22"/>
        </w:rPr>
        <w:t xml:space="preserve">Return to this list throughout Part I. Applied consistently, it turns the difference between periods into a set of specific, comparable answers rather than a vague sense of 'style.'</w:t>
      </w:r>
    </w:p>
    <w:p>
      <w:pPr>
        <w:pStyle w:val="Heading2"/>
        <w:spacing w:after="140" w:before="320"/>
      </w:pPr>
      <w:r>
        <w:rPr>
          <w:b/>
          <w:bCs/>
        </w:rPr>
        <w:t xml:space="preserve">1. The Ancient World</w:t>
      </w:r>
    </w:p>
    <w:p>
      <w:pPr>
        <w:spacing w:after="120"/>
      </w:pPr>
      <w:r>
        <w:rPr>
          <w:i/>
          <w:iCs/>
          <w:color w:val="666666"/>
          <w:sz w:val="20"/>
          <w:szCs w:val="20"/>
        </w:rPr>
        <w:t xml:space="preserve">c. 3000 BCE – 400 CE — Egypt, Greece, Rome</w:t>
      </w:r>
    </w:p>
    <w:p>
      <w:pPr>
        <w:spacing w:after="160" w:line="276"/>
        <w:jc w:val="both"/>
      </w:pPr>
      <w:r>
        <w:rPr>
          <w:i w:val="false"/>
          <w:iCs w:val="false"/>
          <w:sz w:val="22"/>
          <w:szCs w:val="22"/>
        </w:rPr>
        <w:t xml:space="preserve">Egyptian art fixed a formula — frontal figures, hierarchical scale, profile faces — that lasted three thousand years because it served religion, not observation: it recorded the eternal, not the momentary. Greek art broke from this in the opposite direction, chasing naturalism, proportion, and the idealised human body as a civic and philosophical statement. Rome absorbed Greek models wholesale but added portraiture of startling individual likeness, and the illusionistic wall painting later rediscovered at Pompeii.</w:t>
      </w:r>
    </w:p>
    <w:p>
      <w:pPr>
        <w:spacing w:after="60" w:before="180"/>
      </w:pPr>
      <w:r>
        <w:rPr>
          <w:b/>
          <w:bCs/>
          <w:color w:val="8a5a2a"/>
          <w:sz w:val="19"/>
          <w:szCs w:val="19"/>
        </w:rPr>
        <w:t xml:space="preserve">KEY FIGURES</w:t>
      </w:r>
    </w:p>
    <w:p>
      <w:pPr>
        <w:spacing w:after="160" w:line="276"/>
        <w:jc w:val="both"/>
      </w:pPr>
      <w:r>
        <w:rPr>
          <w:i w:val="false"/>
          <w:iCs w:val="false"/>
          <w:sz w:val="22"/>
          <w:szCs w:val="22"/>
        </w:rPr>
        <w:t xml:space="preserve">Egyptian tomb painters (anonymous); Polykleitos and the Canon of proportion; Apelles (by reputation only); the Pompeian fresco painters of the Second and Fourth Styles.</w:t>
      </w:r>
    </w:p>
    <w:p>
      <w:pPr>
        <w:spacing w:after="60" w:before="180"/>
      </w:pPr>
      <w:r>
        <w:rPr>
          <w:b/>
          <w:bCs/>
          <w:color w:val="8a5a2a"/>
          <w:sz w:val="19"/>
          <w:szCs w:val="19"/>
        </w:rPr>
        <w:t xml:space="preserve">WHAT TO LOOK FOR</w:t>
      </w:r>
    </w:p>
    <w:p>
      <w:pPr>
        <w:spacing w:after="160" w:line="276"/>
        <w:jc w:val="both"/>
      </w:pPr>
      <w:r>
        <w:rPr>
          <w:i w:val="false"/>
          <w:iCs w:val="false"/>
          <w:sz w:val="22"/>
          <w:szCs w:val="22"/>
        </w:rPr>
        <w:t xml:space="preserve">The relationship between a picture's formula and its purpose. Ask what a work was for — worship, memory, status, decoration — before asking whether it looks 'real'. Read alongside Minor VII, Theology, and Minor IX, Astrology, for the cosmology behind Egyptian and Greco-Roman imagery.</w:t>
      </w:r>
    </w:p>
    <w:p>
      <w:pPr>
        <w:pStyle w:val="Heading2"/>
        <w:spacing w:after="140" w:before="320"/>
      </w:pPr>
      <w:r>
        <w:rPr>
          <w:b/>
          <w:bCs/>
        </w:rPr>
        <w:t xml:space="preserve">2. Byzantium and the Medieval World</w:t>
      </w:r>
    </w:p>
    <w:p>
      <w:pPr>
        <w:spacing w:after="120"/>
      </w:pPr>
      <w:r>
        <w:rPr>
          <w:i/>
          <w:iCs/>
          <w:color w:val="666666"/>
          <w:sz w:val="20"/>
          <w:szCs w:val="20"/>
        </w:rPr>
        <w:t xml:space="preserve">c. 400 – 1300 CE</w:t>
      </w:r>
    </w:p>
    <w:p>
      <w:pPr>
        <w:spacing w:after="160" w:line="276"/>
        <w:jc w:val="both"/>
      </w:pPr>
      <w:r>
        <w:rPr>
          <w:i w:val="false"/>
          <w:iCs w:val="false"/>
          <w:sz w:val="22"/>
          <w:szCs w:val="22"/>
        </w:rPr>
        <w:t xml:space="preserve">With the decline of Rome, the image became almost entirely a vehicle for doctrine. Byzantine icons used gold ground, reverse perspective, and fixed types to represent eternity rather than a moment in time — the picture was a window onto the sacred, not onto the world. In the Latin West, manuscript illumination and Romanesque and Gothic church sculpture carried the same weight, teaching scripture to a largely illiterate population in glass and stone.</w:t>
      </w:r>
    </w:p>
    <w:p>
      <w:pPr>
        <w:spacing w:after="60" w:before="180"/>
      </w:pPr>
      <w:r>
        <w:rPr>
          <w:b/>
          <w:bCs/>
          <w:color w:val="8a5a2a"/>
          <w:sz w:val="19"/>
          <w:szCs w:val="19"/>
        </w:rPr>
        <w:t xml:space="preserve">KEY FIGURES</w:t>
      </w:r>
    </w:p>
    <w:p>
      <w:pPr>
        <w:spacing w:after="160" w:line="276"/>
        <w:jc w:val="both"/>
      </w:pPr>
      <w:r>
        <w:rPr>
          <w:i w:val="false"/>
          <w:iCs w:val="false"/>
          <w:sz w:val="22"/>
          <w:szCs w:val="22"/>
        </w:rPr>
        <w:t xml:space="preserve">The Hagia Sophia mosaicists; the Andrei Rublev workshop tradition (slightly later, Russian); the illuminators of the Book of Kells and the Lindisfarne Gospels; the sculptors of Chartres Cathedral.</w:t>
      </w:r>
    </w:p>
    <w:p>
      <w:pPr>
        <w:spacing w:after="60" w:before="180"/>
      </w:pPr>
      <w:r>
        <w:rPr>
          <w:b/>
          <w:bCs/>
          <w:color w:val="8a5a2a"/>
          <w:sz w:val="19"/>
          <w:szCs w:val="19"/>
        </w:rPr>
        <w:t xml:space="preserve">WHAT TO LOOK FOR</w:t>
      </w:r>
    </w:p>
    <w:p>
      <w:pPr>
        <w:spacing w:after="160" w:line="276"/>
        <w:jc w:val="both"/>
      </w:pPr>
      <w:r>
        <w:rPr>
          <w:i w:val="false"/>
          <w:iCs w:val="false"/>
          <w:sz w:val="22"/>
          <w:szCs w:val="22"/>
        </w:rPr>
        <w:t xml:space="preserve">Gold as light rather than decoration, inverse perspective as theology rather than error, and the total absence of a 'wrong' angle — every element is symbolic. Essential reading alongside Minor VII, Theology.</w:t>
      </w:r>
    </w:p>
    <w:p>
      <w:pPr>
        <w:pStyle w:val="Heading2"/>
        <w:spacing w:after="140" w:before="320"/>
      </w:pPr>
      <w:r>
        <w:rPr>
          <w:b/>
          <w:bCs/>
        </w:rPr>
        <w:t xml:space="preserve">3. The Early Renaissance</w:t>
      </w:r>
    </w:p>
    <w:p>
      <w:pPr>
        <w:spacing w:after="120"/>
      </w:pPr>
      <w:r>
        <w:rPr>
          <w:i/>
          <w:iCs/>
          <w:color w:val="666666"/>
          <w:sz w:val="20"/>
          <w:szCs w:val="20"/>
        </w:rPr>
        <w:t xml:space="preserve">c. 1300 – 1450 — Florence, Siena</w:t>
      </w:r>
    </w:p>
    <w:p>
      <w:pPr>
        <w:spacing w:after="160" w:line="276"/>
        <w:jc w:val="both"/>
      </w:pPr>
      <w:r>
        <w:rPr>
          <w:i w:val="false"/>
          <w:iCs w:val="false"/>
          <w:sz w:val="22"/>
          <w:szCs w:val="22"/>
        </w:rPr>
        <w:t xml:space="preserve">Giotto broke the Byzantine formula by giving figures weight, emotion, and a believable space to occupy — the Arena Chapel is the hinge on which a thousand years of art turns. A century later, Brunelleschi's discovery of mathematical linear perspective gave Florentine painters a system for constructing a rational, measurable world on a flat surface, and humanism gave them a reason to want one.</w:t>
      </w:r>
    </w:p>
    <w:p>
      <w:pPr>
        <w:spacing w:after="60" w:before="180"/>
      </w:pPr>
      <w:r>
        <w:rPr>
          <w:b/>
          <w:bCs/>
          <w:color w:val="8a5a2a"/>
          <w:sz w:val="19"/>
          <w:szCs w:val="19"/>
        </w:rPr>
        <w:t xml:space="preserve">KEY FIGURES</w:t>
      </w:r>
    </w:p>
    <w:p>
      <w:pPr>
        <w:spacing w:after="160" w:line="276"/>
        <w:jc w:val="both"/>
      </w:pPr>
      <w:r>
        <w:rPr>
          <w:i w:val="false"/>
          <w:iCs w:val="false"/>
          <w:sz w:val="22"/>
          <w:szCs w:val="22"/>
        </w:rPr>
        <w:t xml:space="preserve">Giotto di Bondone; Masaccio; Fra Angelico; Piero della Francesca; Sandro Botticelli; the sculptor-theorists Ghiberti and Donatello.</w:t>
      </w:r>
    </w:p>
    <w:p>
      <w:pPr>
        <w:spacing w:after="60" w:before="180"/>
      </w:pPr>
      <w:r>
        <w:rPr>
          <w:b/>
          <w:bCs/>
          <w:color w:val="8a5a2a"/>
          <w:sz w:val="19"/>
          <w:szCs w:val="19"/>
        </w:rPr>
        <w:t xml:space="preserve">WHAT TO LOOK FOR</w:t>
      </w:r>
    </w:p>
    <w:p>
      <w:pPr>
        <w:spacing w:after="160" w:line="276"/>
        <w:jc w:val="both"/>
      </w:pPr>
      <w:r>
        <w:rPr>
          <w:i w:val="false"/>
          <w:iCs w:val="false"/>
          <w:sz w:val="22"/>
          <w:szCs w:val="22"/>
        </w:rPr>
        <w:t xml:space="preserve">The vanishing point, the modelling of drapery to suggest a body beneath it, and the new interest in individual, recognisable human faces even in religious scenes. Read alongside Minor IV, Geography — why Florence, specifically, produced this — and Minor I, Philosophy, for humanism.</w:t>
      </w:r>
    </w:p>
    <w:p>
      <w:pPr>
        <w:pStyle w:val="Heading2"/>
        <w:spacing w:after="140" w:before="320"/>
      </w:pPr>
      <w:r>
        <w:rPr>
          <w:b/>
          <w:bCs/>
        </w:rPr>
        <w:t xml:space="preserve">4. The High Renaissance</w:t>
      </w:r>
    </w:p>
    <w:p>
      <w:pPr>
        <w:spacing w:after="120"/>
      </w:pPr>
      <w:r>
        <w:rPr>
          <w:i/>
          <w:iCs/>
          <w:color w:val="666666"/>
          <w:sz w:val="20"/>
          <w:szCs w:val="20"/>
        </w:rPr>
        <w:t xml:space="preserve">c. 1450 – 1520 — Florence, Rome, Venice</w:t>
      </w:r>
    </w:p>
    <w:p>
      <w:pPr>
        <w:spacing w:after="160" w:line="276"/>
        <w:jc w:val="both"/>
      </w:pPr>
      <w:r>
        <w:rPr>
          <w:i w:val="false"/>
          <w:iCs w:val="false"/>
          <w:sz w:val="22"/>
          <w:szCs w:val="22"/>
        </w:rPr>
        <w:t xml:space="preserve">Leonardo, Michelangelo and Raphael brought Early Renaissance experiments to a classical synthesis: anatomical precision, atmospheric perspective, and idealised composition balanced against individual psychological presence. In Venice, a parallel tradition under Bellini, Giorgione and Titian prized colour and light — colorito — over the Florentine emphasis on line and drawing — disegno, a debate that would echo for three centuries.</w:t>
      </w:r>
    </w:p>
    <w:p>
      <w:pPr>
        <w:spacing w:after="60" w:before="180"/>
      </w:pPr>
      <w:r>
        <w:rPr>
          <w:b/>
          <w:bCs/>
          <w:color w:val="8a5a2a"/>
          <w:sz w:val="19"/>
          <w:szCs w:val="19"/>
        </w:rPr>
        <w:t xml:space="preserve">KEY FIGURES</w:t>
      </w:r>
    </w:p>
    <w:p>
      <w:pPr>
        <w:spacing w:after="160" w:line="276"/>
        <w:jc w:val="both"/>
      </w:pPr>
      <w:r>
        <w:rPr>
          <w:i w:val="false"/>
          <w:iCs w:val="false"/>
          <w:sz w:val="22"/>
          <w:szCs w:val="22"/>
        </w:rPr>
        <w:t xml:space="preserve">Leonardo da Vinci; Michelangelo Buonarroti; Raphael Sanzio; Giorgione; Titian.</w:t>
      </w:r>
    </w:p>
    <w:p>
      <w:pPr>
        <w:spacing w:after="60" w:before="180"/>
      </w:pPr>
      <w:r>
        <w:rPr>
          <w:b/>
          <w:bCs/>
          <w:color w:val="8a5a2a"/>
          <w:sz w:val="19"/>
          <w:szCs w:val="19"/>
        </w:rPr>
        <w:t xml:space="preserve">WHAT TO LOOK FOR</w:t>
      </w:r>
    </w:p>
    <w:p>
      <w:pPr>
        <w:spacing w:after="160" w:line="276"/>
        <w:jc w:val="both"/>
      </w:pPr>
      <w:r>
        <w:rPr>
          <w:i w:val="false"/>
          <w:iCs w:val="false"/>
          <w:sz w:val="22"/>
          <w:szCs w:val="22"/>
        </w:rPr>
        <w:t xml:space="preserve">Sfumato and the disappearance of hard outlines in Leonardo; the muscular, sculptural bodies of Michelangelo even in paint; the disegno–colorito debate, essential background for every later argument between drawing-led and colour-led painting. Read alongside Minor VI, Biology &amp; Anatomy, and Minor IX, Astrology, for the Neoplatonic cosmology behind works like Botticelli's Primavera.</w:t>
      </w:r>
    </w:p>
    <w:p>
      <w:pPr>
        <w:pStyle w:val="Heading2"/>
        <w:spacing w:after="140" w:before="320"/>
      </w:pPr>
      <w:r>
        <w:rPr>
          <w:b/>
          <w:bCs/>
        </w:rPr>
        <w:t xml:space="preserve">5. The Northern Renaissance</w:t>
      </w:r>
    </w:p>
    <w:p>
      <w:pPr>
        <w:spacing w:after="120"/>
      </w:pPr>
      <w:r>
        <w:rPr>
          <w:i/>
          <w:iCs/>
          <w:color w:val="666666"/>
          <w:sz w:val="20"/>
          <w:szCs w:val="20"/>
        </w:rPr>
        <w:t xml:space="preserve">c. 1400 – 1550 — Flanders, Germany, the Netherlands</w:t>
      </w:r>
    </w:p>
    <w:p>
      <w:pPr>
        <w:spacing w:after="160" w:line="276"/>
        <w:jc w:val="both"/>
      </w:pPr>
      <w:r>
        <w:rPr>
          <w:i w:val="false"/>
          <w:iCs w:val="false"/>
          <w:sz w:val="22"/>
          <w:szCs w:val="22"/>
        </w:rPr>
        <w:t xml:space="preserve">North of the Alps, painters developed oil glazing techniques of extraordinary precision, producing surfaces of jewel-like detail and symbolic density — every object in a Northern interior can carry meaning. Where Italy idealised the body, the North observed the specific: individual faces, textures, and the natural world rendered with near-scientific attention.</w:t>
      </w:r>
    </w:p>
    <w:p>
      <w:pPr>
        <w:spacing w:after="60" w:before="180"/>
      </w:pPr>
      <w:r>
        <w:rPr>
          <w:b/>
          <w:bCs/>
          <w:color w:val="8a5a2a"/>
          <w:sz w:val="19"/>
          <w:szCs w:val="19"/>
        </w:rPr>
        <w:t xml:space="preserve">KEY FIGURES</w:t>
      </w:r>
    </w:p>
    <w:p>
      <w:pPr>
        <w:spacing w:after="160" w:line="276"/>
        <w:jc w:val="both"/>
      </w:pPr>
      <w:r>
        <w:rPr>
          <w:i w:val="false"/>
          <w:iCs w:val="false"/>
          <w:sz w:val="22"/>
          <w:szCs w:val="22"/>
        </w:rPr>
        <w:t xml:space="preserve">Jan van Eyck; Rogier van der Weyden; Hieronymus Bosch; Albrecht Dürer; Pieter Bruegel the Elder.</w:t>
      </w:r>
    </w:p>
    <w:p>
      <w:pPr>
        <w:spacing w:after="60" w:before="180"/>
      </w:pPr>
      <w:r>
        <w:rPr>
          <w:b/>
          <w:bCs/>
          <w:color w:val="8a5a2a"/>
          <w:sz w:val="19"/>
          <w:szCs w:val="19"/>
        </w:rPr>
        <w:t xml:space="preserve">WHAT TO LOOK FOR</w:t>
      </w:r>
    </w:p>
    <w:p>
      <w:pPr>
        <w:spacing w:after="160" w:line="276"/>
        <w:jc w:val="both"/>
      </w:pPr>
      <w:r>
        <w:rPr>
          <w:i w:val="false"/>
          <w:iCs w:val="false"/>
          <w:sz w:val="22"/>
          <w:szCs w:val="22"/>
        </w:rPr>
        <w:t xml:space="preserve">Disguised symbolism — ordinary objects (a dog, a candle, a mirror) carrying doctrinal or moral weight — and the layered oil glaze technique that gives Northern panels their luminous depth. Read alongside Minor V, Ecology, for Bruegel's landscapes and seasons.</w:t>
      </w:r>
    </w:p>
    <w:p>
      <w:pPr>
        <w:pStyle w:val="Heading2"/>
        <w:spacing w:after="140" w:before="320"/>
      </w:pPr>
      <w:r>
        <w:rPr>
          <w:b/>
          <w:bCs/>
        </w:rPr>
        <w:t xml:space="preserve">6. The Baroque</w:t>
      </w:r>
    </w:p>
    <w:p>
      <w:pPr>
        <w:spacing w:after="120"/>
      </w:pPr>
      <w:r>
        <w:rPr>
          <w:i/>
          <w:iCs/>
          <w:color w:val="666666"/>
          <w:sz w:val="20"/>
          <w:szCs w:val="20"/>
        </w:rPr>
        <w:t xml:space="preserve">c. 1600 – 1720 — Italy, Spain, Flanders, the Dutch Republic</w:t>
      </w:r>
    </w:p>
    <w:p>
      <w:pPr>
        <w:spacing w:after="160" w:line="276"/>
        <w:jc w:val="both"/>
      </w:pPr>
      <w:r>
        <w:rPr>
          <w:i w:val="false"/>
          <w:iCs w:val="false"/>
          <w:sz w:val="22"/>
          <w:szCs w:val="22"/>
        </w:rPr>
        <w:t xml:space="preserve">The Counter-Reformation Church wanted art that moved the faithful bodily, not just instructed them, producing Caravaggio's violent chiaroscuro and Bernini's theatrical sculpture. In the newly Protestant and mercantile Dutch Republic, without church commissions, painting turned toward portraiture, still life, and everyday domestic scenes — an entirely new market-driven art.</w:t>
      </w:r>
    </w:p>
    <w:p>
      <w:pPr>
        <w:spacing w:after="60" w:before="180"/>
      </w:pPr>
      <w:r>
        <w:rPr>
          <w:b/>
          <w:bCs/>
          <w:color w:val="8a5a2a"/>
          <w:sz w:val="19"/>
          <w:szCs w:val="19"/>
        </w:rPr>
        <w:t xml:space="preserve">KEY FIGURES</w:t>
      </w:r>
    </w:p>
    <w:p>
      <w:pPr>
        <w:spacing w:after="160" w:line="276"/>
        <w:jc w:val="both"/>
      </w:pPr>
      <w:r>
        <w:rPr>
          <w:i w:val="false"/>
          <w:iCs w:val="false"/>
          <w:sz w:val="22"/>
          <w:szCs w:val="22"/>
        </w:rPr>
        <w:t xml:space="preserve">Caravaggio; Artemisia Gentileschi; Peter Paul Rubens; Diego Velázquez; Rembrandt van Rijn; Johannes Vermeer.</w:t>
      </w:r>
    </w:p>
    <w:p>
      <w:pPr>
        <w:spacing w:after="60" w:before="180"/>
      </w:pPr>
      <w:r>
        <w:rPr>
          <w:b/>
          <w:bCs/>
          <w:color w:val="8a5a2a"/>
          <w:sz w:val="19"/>
          <w:szCs w:val="19"/>
        </w:rPr>
        <w:t xml:space="preserve">WHAT TO LOOK FOR</w:t>
      </w:r>
    </w:p>
    <w:p>
      <w:pPr>
        <w:spacing w:after="160" w:line="276"/>
        <w:jc w:val="both"/>
      </w:pPr>
      <w:r>
        <w:rPr>
          <w:i w:val="false"/>
          <w:iCs w:val="false"/>
          <w:sz w:val="22"/>
          <w:szCs w:val="22"/>
        </w:rPr>
        <w:t xml:space="preserve">Tenebrism and directional light as drama; the rise of genre painting and still life as subjects worthy of art in their own right, tied directly to a new Protestant, commercial society. Read alongside Minor III, History, for the Reformation and Counter-Reformation, and Minor VII, Theology.</w:t>
      </w:r>
    </w:p>
    <w:p>
      <w:pPr>
        <w:pStyle w:val="Heading2"/>
        <w:spacing w:after="140" w:before="320"/>
      </w:pPr>
      <w:r>
        <w:rPr>
          <w:b/>
          <w:bCs/>
        </w:rPr>
        <w:t xml:space="preserve">7. Rococo and Neoclassicism</w:t>
      </w:r>
    </w:p>
    <w:p>
      <w:pPr>
        <w:spacing w:after="120"/>
      </w:pPr>
      <w:r>
        <w:rPr>
          <w:i/>
          <w:iCs/>
          <w:color w:val="666666"/>
          <w:sz w:val="20"/>
          <w:szCs w:val="20"/>
        </w:rPr>
        <w:t xml:space="preserve">c. 1720 – 1800 — France</w:t>
      </w:r>
    </w:p>
    <w:p>
      <w:pPr>
        <w:spacing w:after="160" w:line="276"/>
        <w:jc w:val="both"/>
      </w:pPr>
      <w:r>
        <w:rPr>
          <w:i w:val="false"/>
          <w:iCs w:val="false"/>
          <w:sz w:val="22"/>
          <w:szCs w:val="22"/>
        </w:rPr>
        <w:t xml:space="preserve">The Rococo of Watteau, Boucher and Fragonard gave aristocratic France a painting of pastel colour, pastoral flirtation, and decorative lightness. The French Revolution demanded its opposite: Jacques-Louis David's Neoclassicism revived Roman austerity, clear outline, and moral seriousness as a visual language for republican virtue.</w:t>
      </w:r>
    </w:p>
    <w:p>
      <w:pPr>
        <w:spacing w:after="60" w:before="180"/>
      </w:pPr>
      <w:r>
        <w:rPr>
          <w:b/>
          <w:bCs/>
          <w:color w:val="8a5a2a"/>
          <w:sz w:val="19"/>
          <w:szCs w:val="19"/>
        </w:rPr>
        <w:t xml:space="preserve">KEY FIGURES</w:t>
      </w:r>
    </w:p>
    <w:p>
      <w:pPr>
        <w:spacing w:after="160" w:line="276"/>
        <w:jc w:val="both"/>
      </w:pPr>
      <w:r>
        <w:rPr>
          <w:i w:val="false"/>
          <w:iCs w:val="false"/>
          <w:sz w:val="22"/>
          <w:szCs w:val="22"/>
        </w:rPr>
        <w:t xml:space="preserve">Jean-Antoine Watteau; François Boucher; Jean-Honoré Fragonard; Jacques-Louis David; Jean-Auguste-Dominique Ingres.</w:t>
      </w:r>
    </w:p>
    <w:p>
      <w:pPr>
        <w:spacing w:after="60" w:before="180"/>
      </w:pPr>
      <w:r>
        <w:rPr>
          <w:b/>
          <w:bCs/>
          <w:color w:val="8a5a2a"/>
          <w:sz w:val="19"/>
          <w:szCs w:val="19"/>
        </w:rPr>
        <w:t xml:space="preserve">WHAT TO LOOK FOR</w:t>
      </w:r>
    </w:p>
    <w:p>
      <w:pPr>
        <w:spacing w:after="160" w:line="276"/>
        <w:jc w:val="both"/>
      </w:pPr>
      <w:r>
        <w:rPr>
          <w:i w:val="false"/>
          <w:iCs w:val="false"/>
          <w:sz w:val="22"/>
          <w:szCs w:val="22"/>
        </w:rPr>
        <w:t xml:space="preserve">How abruptly style can change when political meaning changes — the same brush skill turned from silk and flesh to stone and sacrifice within a single generation. Read alongside Minor III, History, for the Revolution, and note the era's taste for chinoiserie, covered in the East Meets West chapter below.</w:t>
      </w:r>
    </w:p>
    <w:p>
      <w:pPr>
        <w:pStyle w:val="Heading2"/>
        <w:spacing w:after="140" w:before="320"/>
      </w:pPr>
      <w:r>
        <w:rPr>
          <w:b/>
          <w:bCs/>
        </w:rPr>
        <w:t xml:space="preserve">8. Romanticism</w:t>
      </w:r>
    </w:p>
    <w:p>
      <w:pPr>
        <w:spacing w:after="120"/>
      </w:pPr>
      <w:r>
        <w:rPr>
          <w:i/>
          <w:iCs/>
          <w:color w:val="666666"/>
          <w:sz w:val="20"/>
          <w:szCs w:val="20"/>
        </w:rPr>
        <w:t xml:space="preserve">c. 1780 – 1850 — Britain, France, Germany, Spain</w:t>
      </w:r>
    </w:p>
    <w:p>
      <w:pPr>
        <w:spacing w:after="160" w:line="276"/>
        <w:jc w:val="both"/>
      </w:pPr>
      <w:r>
        <w:rPr>
          <w:i w:val="false"/>
          <w:iCs w:val="false"/>
          <w:sz w:val="22"/>
          <w:szCs w:val="22"/>
        </w:rPr>
        <w:t xml:space="preserve">Against Neoclassical reason, the Romantics prized emotion, the sublime, and the individual imagination — nature as overwhelming rather than orderly, history as tragedy rather than lesson. Turner dissolved landscape into light and weather; Friedrich made the solitary human figure small before an immense natural world; Goya turned court painting into nightmare and protest.</w:t>
      </w:r>
    </w:p>
    <w:p>
      <w:pPr>
        <w:spacing w:after="60" w:before="180"/>
      </w:pPr>
      <w:r>
        <w:rPr>
          <w:b/>
          <w:bCs/>
          <w:color w:val="8a5a2a"/>
          <w:sz w:val="19"/>
          <w:szCs w:val="19"/>
        </w:rPr>
        <w:t xml:space="preserve">KEY FIGURES</w:t>
      </w:r>
    </w:p>
    <w:p>
      <w:pPr>
        <w:spacing w:after="160" w:line="276"/>
        <w:jc w:val="both"/>
      </w:pPr>
      <w:r>
        <w:rPr>
          <w:i w:val="false"/>
          <w:iCs w:val="false"/>
          <w:sz w:val="22"/>
          <w:szCs w:val="22"/>
        </w:rPr>
        <w:t xml:space="preserve">Francisco Goya; J.M.W. Turner; John Constable; Caspar David Friedrich; Eugène Delacroix.</w:t>
      </w:r>
    </w:p>
    <w:p>
      <w:pPr>
        <w:spacing w:after="60" w:before="180"/>
      </w:pPr>
      <w:r>
        <w:rPr>
          <w:b/>
          <w:bCs/>
          <w:color w:val="8a5a2a"/>
          <w:sz w:val="19"/>
          <w:szCs w:val="19"/>
        </w:rPr>
        <w:t xml:space="preserve">WHAT TO LOOK FOR</w:t>
      </w:r>
    </w:p>
    <w:p>
      <w:pPr>
        <w:spacing w:after="160" w:line="276"/>
        <w:jc w:val="both"/>
      </w:pPr>
      <w:r>
        <w:rPr>
          <w:i w:val="false"/>
          <w:iCs w:val="false"/>
          <w:sz w:val="22"/>
          <w:szCs w:val="22"/>
        </w:rPr>
        <w:t xml:space="preserve">The sublime — beauty mixed with terror or awe — and the new seriousness given to landscape and weather as subjects in themselves. Read alongside Minor V, Ecology, and Minor IV, Geography, for the specific coastlines, mountains and skies each painter actually studied.</w:t>
      </w:r>
    </w:p>
    <w:p>
      <w:pPr>
        <w:pStyle w:val="Heading2"/>
        <w:spacing w:after="140" w:before="320"/>
      </w:pPr>
      <w:r>
        <w:rPr>
          <w:b/>
          <w:bCs/>
        </w:rPr>
        <w:t xml:space="preserve">9. Realism and the Birth of Modern Life</w:t>
      </w:r>
    </w:p>
    <w:p>
      <w:pPr>
        <w:spacing w:after="120"/>
      </w:pPr>
      <w:r>
        <w:rPr>
          <w:i/>
          <w:iCs/>
          <w:color w:val="666666"/>
          <w:sz w:val="20"/>
          <w:szCs w:val="20"/>
        </w:rPr>
        <w:t xml:space="preserve">c. 1840 – 1870 — France</w:t>
      </w:r>
    </w:p>
    <w:p>
      <w:pPr>
        <w:spacing w:after="160" w:line="276"/>
        <w:jc w:val="both"/>
      </w:pPr>
      <w:r>
        <w:rPr>
          <w:i w:val="false"/>
          <w:iCs w:val="false"/>
          <w:sz w:val="22"/>
          <w:szCs w:val="22"/>
        </w:rPr>
        <w:t xml:space="preserve">Courbet insisted on painting only what he could see with his own eyes — peasants, labourers, funerals — at the scale and seriousness previously reserved for history painting, a deliberately political act. Millet gave rural labour a monumental dignity; both prepared the ground for Manet's provocations and, eventually, Impressionism.</w:t>
      </w:r>
    </w:p>
    <w:p>
      <w:pPr>
        <w:spacing w:after="60" w:before="180"/>
      </w:pPr>
      <w:r>
        <w:rPr>
          <w:b/>
          <w:bCs/>
          <w:color w:val="8a5a2a"/>
          <w:sz w:val="19"/>
          <w:szCs w:val="19"/>
        </w:rPr>
        <w:t xml:space="preserve">KEY FIGURES</w:t>
      </w:r>
    </w:p>
    <w:p>
      <w:pPr>
        <w:spacing w:after="160" w:line="276"/>
        <w:jc w:val="both"/>
      </w:pPr>
      <w:r>
        <w:rPr>
          <w:i w:val="false"/>
          <w:iCs w:val="false"/>
          <w:sz w:val="22"/>
          <w:szCs w:val="22"/>
        </w:rPr>
        <w:t xml:space="preserve">Gustave Courbet; Jean-François Millet; Honoré Daumier; Édouard Manet.</w:t>
      </w:r>
    </w:p>
    <w:p>
      <w:pPr>
        <w:spacing w:after="60" w:before="180"/>
      </w:pPr>
      <w:r>
        <w:rPr>
          <w:b/>
          <w:bCs/>
          <w:color w:val="8a5a2a"/>
          <w:sz w:val="19"/>
          <w:szCs w:val="19"/>
        </w:rPr>
        <w:t xml:space="preserve">WHAT TO LOOK FOR</w:t>
      </w:r>
    </w:p>
    <w:p>
      <w:pPr>
        <w:spacing w:after="160" w:line="276"/>
        <w:jc w:val="both"/>
      </w:pPr>
      <w:r>
        <w:rPr>
          <w:i w:val="false"/>
          <w:iCs w:val="false"/>
          <w:sz w:val="22"/>
          <w:szCs w:val="22"/>
        </w:rPr>
        <w:t xml:space="preserve">Scale as a political statement — a peasant painted as large as a king was once painted — and the rejection of myth and allegory in favour of contemporary, often uncomfortable, subject matter. Read alongside Minor III, History, for 1848 and industrialisation.</w:t>
      </w:r>
    </w:p>
    <w:p>
      <w:pPr>
        <w:pStyle w:val="Heading2"/>
        <w:spacing w:after="140" w:before="320"/>
      </w:pPr>
      <w:r>
        <w:rPr>
          <w:b/>
          <w:bCs/>
        </w:rPr>
        <w:t xml:space="preserve">10. Impressionism and Post-Impressionism</w:t>
      </w:r>
    </w:p>
    <w:p>
      <w:pPr>
        <w:spacing w:after="120"/>
      </w:pPr>
      <w:r>
        <w:rPr>
          <w:i/>
          <w:iCs/>
          <w:color w:val="666666"/>
          <w:sz w:val="20"/>
          <w:szCs w:val="20"/>
        </w:rPr>
        <w:t xml:space="preserve">c. 1860 – 1900 — France</w:t>
      </w:r>
    </w:p>
    <w:p>
      <w:pPr>
        <w:spacing w:after="160" w:line="276"/>
        <w:jc w:val="both"/>
      </w:pPr>
      <w:r>
        <w:rPr>
          <w:i w:val="false"/>
          <w:iCs w:val="false"/>
          <w:sz w:val="22"/>
          <w:szCs w:val="22"/>
        </w:rPr>
        <w:t xml:space="preserve">The Impressionists painted outdoors, directly, chasing the changing effects of light with visible, broken brushwork rather than the smooth finish demanded by the official Salon. The Post-Impressionists who followed kept the bright palette but reasserted structure and personal vision: Cézanne's geometry, Van Gogh's emotional colour, Seurat's optical science, Gauguin's flattened symbolic pattern.</w:t>
      </w:r>
    </w:p>
    <w:p>
      <w:pPr>
        <w:spacing w:after="60" w:before="180"/>
      </w:pPr>
      <w:r>
        <w:rPr>
          <w:b/>
          <w:bCs/>
          <w:color w:val="8a5a2a"/>
          <w:sz w:val="19"/>
          <w:szCs w:val="19"/>
        </w:rPr>
        <w:t xml:space="preserve">KEY FIGURES</w:t>
      </w:r>
    </w:p>
    <w:p>
      <w:pPr>
        <w:spacing w:after="160" w:line="276"/>
        <w:jc w:val="both"/>
      </w:pPr>
      <w:r>
        <w:rPr>
          <w:i w:val="false"/>
          <w:iCs w:val="false"/>
          <w:sz w:val="22"/>
          <w:szCs w:val="22"/>
        </w:rPr>
        <w:t xml:space="preserve">Claude Monet; Edgar Degas; Berthe Morisot; Paul Cézanne; Vincent van Gogh; Georges Seurat; Paul Gauguin.</w:t>
      </w:r>
    </w:p>
    <w:p>
      <w:pPr>
        <w:spacing w:after="60" w:before="180"/>
      </w:pPr>
      <w:r>
        <w:rPr>
          <w:b/>
          <w:bCs/>
          <w:color w:val="8a5a2a"/>
          <w:sz w:val="19"/>
          <w:szCs w:val="19"/>
        </w:rPr>
        <w:t xml:space="preserve">WHAT TO LOOK FOR</w:t>
      </w:r>
    </w:p>
    <w:p>
      <w:pPr>
        <w:spacing w:after="160" w:line="276"/>
        <w:jc w:val="both"/>
      </w:pPr>
      <w:r>
        <w:rPr>
          <w:i w:val="false"/>
          <w:iCs w:val="false"/>
          <w:sz w:val="22"/>
          <w:szCs w:val="22"/>
        </w:rPr>
        <w:t xml:space="preserve">Broken colour and optical mixing; the abandonment of a fixed, single viewpoint in Degas and Cézanne; and, throughout this whole period, the direct influence of Japanese prints on composition and flat colour — see the East Meets West chapter, which belongs precisely here.</w:t>
      </w:r>
    </w:p>
    <w:p>
      <w:pPr>
        <w:pStyle w:val="Heading2"/>
        <w:spacing w:after="140" w:before="320"/>
      </w:pPr>
      <w:r>
        <w:rPr>
          <w:b/>
          <w:bCs/>
        </w:rPr>
        <w:t xml:space="preserve">11. Modernism I — Fauvism, Cubism, Expressionism</w:t>
      </w:r>
    </w:p>
    <w:p>
      <w:pPr>
        <w:spacing w:after="120"/>
      </w:pPr>
      <w:r>
        <w:rPr>
          <w:i/>
          <w:iCs/>
          <w:color w:val="666666"/>
          <w:sz w:val="20"/>
          <w:szCs w:val="20"/>
        </w:rPr>
        <w:t xml:space="preserve">c. 1900 – 1920 — France, Germany</w:t>
      </w:r>
    </w:p>
    <w:p>
      <w:pPr>
        <w:spacing w:after="160" w:line="276"/>
        <w:jc w:val="both"/>
      </w:pPr>
      <w:r>
        <w:rPr>
          <w:i w:val="false"/>
          <w:iCs w:val="false"/>
          <w:sz w:val="22"/>
          <w:szCs w:val="22"/>
        </w:rPr>
        <w:t xml:space="preserve">Matisse and the Fauves pushed colour beyond description into pure emotional force. Picasso and Braque dismantled single-viewpoint perspective entirely in Cubism, showing an object from several angles at once — the most complete rejection of the system Brunelleschi had built five centuries earlier. In Germany, the Expressionists used distortion and raw colour to convey psychological and social anxiety.</w:t>
      </w:r>
    </w:p>
    <w:p>
      <w:pPr>
        <w:spacing w:after="60" w:before="180"/>
      </w:pPr>
      <w:r>
        <w:rPr>
          <w:b/>
          <w:bCs/>
          <w:color w:val="8a5a2a"/>
          <w:sz w:val="19"/>
          <w:szCs w:val="19"/>
        </w:rPr>
        <w:t xml:space="preserve">KEY FIGURES</w:t>
      </w:r>
    </w:p>
    <w:p>
      <w:pPr>
        <w:spacing w:after="160" w:line="276"/>
        <w:jc w:val="both"/>
      </w:pPr>
      <w:r>
        <w:rPr>
          <w:i w:val="false"/>
          <w:iCs w:val="false"/>
          <w:sz w:val="22"/>
          <w:szCs w:val="22"/>
        </w:rPr>
        <w:t xml:space="preserve">Henri Matisse; Pablo Picasso; Georges Braque; Ernst Ludwig Kirchner; Wassily Kandinsky.</w:t>
      </w:r>
    </w:p>
    <w:p>
      <w:pPr>
        <w:spacing w:after="60" w:before="180"/>
      </w:pPr>
      <w:r>
        <w:rPr>
          <w:b/>
          <w:bCs/>
          <w:color w:val="8a5a2a"/>
          <w:sz w:val="19"/>
          <w:szCs w:val="19"/>
        </w:rPr>
        <w:t xml:space="preserve">WHAT TO LOOK FOR</w:t>
      </w:r>
    </w:p>
    <w:p>
      <w:pPr>
        <w:spacing w:after="160" w:line="276"/>
        <w:jc w:val="both"/>
      </w:pPr>
      <w:r>
        <w:rPr>
          <w:i w:val="false"/>
          <w:iCs w:val="false"/>
          <w:sz w:val="22"/>
          <w:szCs w:val="22"/>
        </w:rPr>
        <w:t xml:space="preserve">The final collapse of illusionistic space as the default goal of painting, and colour used as feeling rather than description. Read alongside Minor I, Philosophy, for phenomenology, and Minor IX, Astrology, for Kandinsky's theosophical and cosmological theory of colour.</w:t>
      </w:r>
    </w:p>
    <w:p>
      <w:pPr>
        <w:pStyle w:val="Heading2"/>
        <w:spacing w:after="140" w:before="320"/>
      </w:pPr>
      <w:r>
        <w:rPr>
          <w:b/>
          <w:bCs/>
        </w:rPr>
        <w:t xml:space="preserve">12. Modernism II — Abstraction, Surrealism, Abstract Expressionism</w:t>
      </w:r>
    </w:p>
    <w:p>
      <w:pPr>
        <w:spacing w:after="120"/>
      </w:pPr>
      <w:r>
        <w:rPr>
          <w:i/>
          <w:iCs/>
          <w:color w:val="666666"/>
          <w:sz w:val="20"/>
          <w:szCs w:val="20"/>
        </w:rPr>
        <w:t xml:space="preserve">c. 1910 – 1960 — Europe, United States</w:t>
      </w:r>
    </w:p>
    <w:p>
      <w:pPr>
        <w:spacing w:after="160" w:line="276"/>
        <w:jc w:val="both"/>
      </w:pPr>
      <w:r>
        <w:rPr>
          <w:i w:val="false"/>
          <w:iCs w:val="false"/>
          <w:sz w:val="22"/>
          <w:szCs w:val="22"/>
        </w:rPr>
        <w:t xml:space="preserve">Kandinsky and Malevich pursued abstraction as a spiritual language freed from the object entirely. Surrealism, led by Dalí and Magritte, mined dream and the unconscious. After the Second World War, the centre of gravity shifted to New York, where Pollock and Rothko pushed abstraction toward pure gesture and pure feeling at an enormous physical scale.</w:t>
      </w:r>
    </w:p>
    <w:p>
      <w:pPr>
        <w:spacing w:after="60" w:before="180"/>
      </w:pPr>
      <w:r>
        <w:rPr>
          <w:b/>
          <w:bCs/>
          <w:color w:val="8a5a2a"/>
          <w:sz w:val="19"/>
          <w:szCs w:val="19"/>
        </w:rPr>
        <w:t xml:space="preserve">KEY FIGURES</w:t>
      </w:r>
    </w:p>
    <w:p>
      <w:pPr>
        <w:spacing w:after="160" w:line="276"/>
        <w:jc w:val="both"/>
      </w:pPr>
      <w:r>
        <w:rPr>
          <w:i w:val="false"/>
          <w:iCs w:val="false"/>
          <w:sz w:val="22"/>
          <w:szCs w:val="22"/>
        </w:rPr>
        <w:t xml:space="preserve">Wassily Kandinsky; Kazimir Malevich; Salvador Dalí; René Magritte; Jackson Pollock; Mark Rothko.</w:t>
      </w:r>
    </w:p>
    <w:p>
      <w:pPr>
        <w:spacing w:after="60" w:before="180"/>
      </w:pPr>
      <w:r>
        <w:rPr>
          <w:b/>
          <w:bCs/>
          <w:color w:val="8a5a2a"/>
          <w:sz w:val="19"/>
          <w:szCs w:val="19"/>
        </w:rPr>
        <w:t xml:space="preserve">WHAT TO LOOK FOR</w:t>
      </w:r>
    </w:p>
    <w:p>
      <w:pPr>
        <w:spacing w:after="160" w:line="276"/>
        <w:jc w:val="both"/>
      </w:pPr>
      <w:r>
        <w:rPr>
          <w:i w:val="false"/>
          <w:iCs w:val="false"/>
          <w:sz w:val="22"/>
          <w:szCs w:val="22"/>
        </w:rPr>
        <w:t xml:space="preserve">Scale as immersion, gesture as subject matter, and the search — across very different artists — for an art that bypasses recognisable imagery altogether. Read alongside Minor I, Philosophy, for existentialism.</w:t>
      </w:r>
    </w:p>
    <w:p>
      <w:pPr>
        <w:pStyle w:val="Heading2"/>
        <w:spacing w:after="140" w:before="320"/>
      </w:pPr>
      <w:r>
        <w:rPr>
          <w:b/>
          <w:bCs/>
        </w:rPr>
        <w:t xml:space="preserve">13. Contemporary Art and the Return of Figuration</w:t>
      </w:r>
    </w:p>
    <w:p>
      <w:pPr>
        <w:spacing w:after="120"/>
      </w:pPr>
      <w:r>
        <w:rPr>
          <w:i/>
          <w:iCs/>
          <w:color w:val="666666"/>
          <w:sz w:val="20"/>
          <w:szCs w:val="20"/>
        </w:rPr>
        <w:t xml:space="preserve">c. 1960 – present</w:t>
      </w:r>
    </w:p>
    <w:p>
      <w:pPr>
        <w:spacing w:after="160" w:line="276"/>
        <w:jc w:val="both"/>
      </w:pPr>
      <w:r>
        <w:rPr>
          <w:i w:val="false"/>
          <w:iCs w:val="false"/>
          <w:sz w:val="22"/>
          <w:szCs w:val="22"/>
        </w:rPr>
        <w:t xml:space="preserve">Since the 1960s, painting has repeatedly been declared dead and repeatedly returned, often through a renewed interest in the human figure, personal history, and identity, alongside continuing abstract and conceptual traditions. Painters today work with the entire preceding canon as available material, in a global rather than purely Western conversation.</w:t>
      </w:r>
    </w:p>
    <w:p>
      <w:pPr>
        <w:spacing w:after="60" w:before="180"/>
      </w:pPr>
      <w:r>
        <w:rPr>
          <w:b/>
          <w:bCs/>
          <w:color w:val="8a5a2a"/>
          <w:sz w:val="19"/>
          <w:szCs w:val="19"/>
        </w:rPr>
        <w:t xml:space="preserve">KEY FIGURES</w:t>
      </w:r>
    </w:p>
    <w:p>
      <w:pPr>
        <w:spacing w:after="160" w:line="276"/>
        <w:jc w:val="both"/>
      </w:pPr>
      <w:r>
        <w:rPr>
          <w:i w:val="false"/>
          <w:iCs w:val="false"/>
          <w:sz w:val="22"/>
          <w:szCs w:val="22"/>
        </w:rPr>
        <w:t xml:space="preserve">Lucian Freud; Gerhard Richter; Peter Doig; Kerry James Marshall; Njideka Akunyili Crosby; Jenny Saville.</w:t>
      </w:r>
    </w:p>
    <w:p>
      <w:pPr>
        <w:spacing w:after="60" w:before="180"/>
      </w:pPr>
      <w:r>
        <w:rPr>
          <w:b/>
          <w:bCs/>
          <w:color w:val="8a5a2a"/>
          <w:sz w:val="19"/>
          <w:szCs w:val="19"/>
        </w:rPr>
        <w:t xml:space="preserve">WHAT TO LOOK FOR</w:t>
      </w:r>
    </w:p>
    <w:p>
      <w:pPr>
        <w:spacing w:after="160" w:line="276"/>
        <w:jc w:val="both"/>
      </w:pPr>
      <w:r>
        <w:rPr>
          <w:i w:val="false"/>
          <w:iCs w:val="false"/>
          <w:sz w:val="22"/>
          <w:szCs w:val="22"/>
        </w:rPr>
        <w:t xml:space="preserve">How contemporary painters quote, rework, and answer earlier periods in this handbook — a Freud nude in dialogue with Titian, a Doig landscape in dialogue with Gauguin and Munch. This is where your own painting joins the conversation.</w:t>
      </w:r>
    </w:p>
    <w:p>
      <w:pPr>
        <w:pStyle w:val="Heading2"/>
        <w:spacing w:after="140" w:before="320"/>
      </w:pPr>
      <w:r>
        <w:rPr>
          <w:b/>
          <w:bCs/>
        </w:rPr>
        <w:t xml:space="preserve">14. East Meets West: Cross-Currents in the Canon</w:t>
      </w:r>
    </w:p>
    <w:p>
      <w:pPr>
        <w:spacing w:after="200"/>
      </w:pPr>
      <w:r>
        <w:rPr>
          <w:i/>
          <w:iCs/>
          <w:color w:val="555555"/>
          <w:sz w:val="24"/>
          <w:szCs w:val="24"/>
        </w:rPr>
        <w:t xml:space="preserve">A smaller but essential chapter — the points where Asian art reshaped the Western tradition, and vice versa.</w:t>
      </w:r>
    </w:p>
    <w:p>
      <w:pPr>
        <w:spacing w:after="160" w:line="276"/>
        <w:jc w:val="both"/>
      </w:pPr>
      <w:r>
        <w:rPr>
          <w:i w:val="false"/>
          <w:iCs w:val="false"/>
          <w:sz w:val="22"/>
          <w:szCs w:val="22"/>
        </w:rPr>
        <w:t xml:space="preserve">The Western canon has never been a closed system, and a handbook that pretends otherwise misrepresents its own subject. Three moments matter most.</w:t>
      </w:r>
    </w:p>
    <w:p>
      <w:pPr>
        <w:pStyle w:val="Heading3"/>
        <w:spacing w:after="100" w:before="220"/>
      </w:pPr>
      <w:r>
        <w:rPr>
          <w:b/>
          <w:bCs/>
          <w:i/>
          <w:iCs/>
        </w:rPr>
        <w:t xml:space="preserve">Islamic Art and the Medieval-to-Renaissance West</w:t>
      </w:r>
    </w:p>
    <w:p>
      <w:pPr>
        <w:spacing w:after="160" w:line="276"/>
        <w:jc w:val="both"/>
      </w:pPr>
      <w:r>
        <w:rPr>
          <w:i w:val="false"/>
          <w:iCs w:val="false"/>
          <w:sz w:val="22"/>
          <w:szCs w:val="22"/>
        </w:rPr>
        <w:t xml:space="preserve">Islamic geometric ornament, arabesque, and calligraphic design entered Europe through Sicily, Spain, and trade with Byzantium and the Ottoman world, shaping Gothic tracery, textile patterns in paintings by Gentile Bellini and Carlo Crivelli, and the Renaissance taste for 'Turkish carpets' visible in Northern European portraiture. Ottoman-Venetian contact, including Bellini's own visit to Istanbul, ran directly through this exchange.</w:t>
      </w:r>
    </w:p>
    <w:p>
      <w:pPr>
        <w:pStyle w:val="Heading3"/>
        <w:spacing w:after="100" w:before="220"/>
      </w:pPr>
      <w:r>
        <w:rPr>
          <w:b/>
          <w:bCs/>
          <w:i/>
          <w:iCs/>
        </w:rPr>
        <w:t xml:space="preserve">Chinoiserie and the Eighteenth Century</w:t>
      </w:r>
    </w:p>
    <w:p>
      <w:pPr>
        <w:spacing w:after="160" w:line="276"/>
        <w:jc w:val="both"/>
      </w:pPr>
      <w:r>
        <w:rPr>
          <w:i w:val="false"/>
          <w:iCs w:val="false"/>
          <w:sz w:val="22"/>
          <w:szCs w:val="22"/>
        </w:rPr>
        <w:t xml:space="preserve">Chinese porcelain, lacquer, and painting reached Europe via trade with the Qing dynasty, producing the Rococo fashion for chinoiserie — pagodas, willow patterns, and imagined Chinese scenes in Boucher and Fragonard's decorative schemes — a taste for the East that was fantastical rather than accurate, but genuinely influential on colour and composition.</w:t>
      </w:r>
    </w:p>
    <w:p>
      <w:pPr>
        <w:pStyle w:val="Heading3"/>
        <w:spacing w:after="100" w:before="220"/>
      </w:pPr>
      <w:r>
        <w:rPr>
          <w:b/>
          <w:bCs/>
          <w:i/>
          <w:iCs/>
        </w:rPr>
        <w:t xml:space="preserve">Japonisme and Impressionism</w:t>
      </w:r>
    </w:p>
    <w:p>
      <w:pPr>
        <w:spacing w:after="160" w:line="276"/>
        <w:jc w:val="both"/>
      </w:pPr>
      <w:r>
        <w:rPr>
          <w:i w:val="false"/>
          <w:iCs w:val="false"/>
          <w:sz w:val="22"/>
          <w:szCs w:val="22"/>
        </w:rPr>
        <w:t xml:space="preserve">The opening of Japan to Western trade in the 1850s flooded Paris with ukiyo-e woodblock prints. Their flat colour, cropped and asymmetrical compositions, high viewpoints, and outline-driven design directly reshaped Western painting: Monet collected Hokusai and Hiroshige, Van Gogh copied Hiroshige prints outright, Degas borrowed Japanese cropping for his ballet and racecourse scenes, and Whistler and Klimt absorbed Japanese pattern into their own work. This is arguably the single most concentrated transfer of visual ideas from East to West in the whole canon.</w:t>
      </w:r>
    </w:p>
    <w:p>
      <w:pPr>
        <w:pStyle w:val="Heading3"/>
        <w:spacing w:after="100" w:before="220"/>
      </w:pPr>
      <w:r>
        <w:rPr>
          <w:b/>
          <w:bCs/>
          <w:i/>
          <w:iCs/>
        </w:rPr>
        <w:t xml:space="preserve">Twentieth Century and Beyond</w:t>
      </w:r>
    </w:p>
    <w:p>
      <w:pPr>
        <w:spacing w:after="160" w:line="276"/>
        <w:jc w:val="both"/>
      </w:pPr>
      <w:r>
        <w:rPr>
          <w:i w:val="false"/>
          <w:iCs w:val="false"/>
          <w:sz w:val="22"/>
          <w:szCs w:val="22"/>
        </w:rPr>
        <w:t xml:space="preserve">Zen aesthetics and Chinese and Japanese ink painting fed directly into American Abstract Expressionism through artists like Franz Kline and Mark Tobey, while contemporary painting is now a genuinely global conversation rather than a one-directional export from Paris or New York.</w:t>
      </w:r>
    </w:p>
    <w:p>
      <w:pPr>
        <w:spacing w:after="60" w:before="180"/>
      </w:pPr>
      <w:r>
        <w:rPr>
          <w:b/>
          <w:bCs/>
          <w:color w:val="8a5a2a"/>
          <w:sz w:val="19"/>
          <w:szCs w:val="19"/>
        </w:rPr>
        <w:t xml:space="preserve">SUGGESTED READING</w:t>
      </w:r>
    </w:p>
    <w:p>
      <w:pPr>
        <w:pStyle w:val="ListParagraph"/>
        <w:numPr>
          <w:ilvl w:val="0"/>
          <w:numId w:val="2"/>
        </w:numPr>
        <w:spacing w:after="70"/>
      </w:pPr>
      <w:r>
        <w:rPr>
          <w:sz w:val="22"/>
          <w:szCs w:val="22"/>
        </w:rPr>
        <w:t xml:space="preserve">Hokusai, Thirty-Six Views of Mount Fuji — view alongside any Monet series painting</w:t>
      </w:r>
    </w:p>
    <w:p>
      <w:pPr>
        <w:pStyle w:val="ListParagraph"/>
        <w:numPr>
          <w:ilvl w:val="0"/>
          <w:numId w:val="2"/>
        </w:numPr>
        <w:spacing w:after="70"/>
      </w:pPr>
      <w:r>
        <w:rPr>
          <w:sz w:val="22"/>
          <w:szCs w:val="22"/>
        </w:rPr>
        <w:t xml:space="preserve">Ernst Gombrich, The Story of Art, chapters on Islamic and Chinese art</w:t>
      </w:r>
    </w:p>
    <w:p>
      <w:pPr>
        <w:pStyle w:val="ListParagraph"/>
        <w:numPr>
          <w:ilvl w:val="0"/>
          <w:numId w:val="2"/>
        </w:numPr>
        <w:spacing w:after="70"/>
      </w:pPr>
      <w:r>
        <w:rPr>
          <w:sz w:val="22"/>
          <w:szCs w:val="22"/>
        </w:rPr>
        <w:t xml:space="preserve">Colta Ives, The Great Wave: The Influence of Japanese Woodcuts on French Prints</w:t>
      </w:r>
    </w:p>
    <w:p>
      <w:pPr>
        <w:pStyle w:val="Heading1"/>
        <w:pageBreakBefore/>
        <w:spacing w:after="240" w:before="200"/>
      </w:pPr>
      <w:r>
        <w:rPr>
          <w:b/>
          <w:bCs/>
        </w:rPr>
        <w:t xml:space="preserve">Part II — The Nine Minors</w:t>
      </w:r>
    </w:p>
    <w:p>
      <w:pPr>
        <w:spacing w:after="200"/>
      </w:pPr>
      <w:r>
        <w:rPr>
          <w:i/>
          <w:iCs/>
          <w:color w:val="555555"/>
          <w:sz w:val="24"/>
          <w:szCs w:val="24"/>
        </w:rPr>
        <w:t xml:space="preserve">Each minor answers one specific question a painter eventually asks. None is optional; each supports the Major directly.</w:t>
      </w:r>
    </w:p>
    <w:p>
      <w:pPr>
        <w:pStyle w:val="Heading2"/>
        <w:spacing w:after="140" w:before="320"/>
      </w:pPr>
      <w:r>
        <w:rPr>
          <w:b/>
          <w:bCs/>
        </w:rPr>
        <w:t xml:space="preserve">Minor I — Philosophy</w:t>
      </w:r>
    </w:p>
    <w:p>
      <w:pPr>
        <w:spacing w:after="160" w:line="276"/>
        <w:jc w:val="both"/>
      </w:pPr>
      <w:r>
        <w:rPr>
          <w:i w:val="false"/>
          <w:iCs w:val="false"/>
          <w:sz w:val="22"/>
          <w:szCs w:val="22"/>
        </w:rPr>
        <w:t xml:space="preserve">Philosophy changes how an artist thinks, not just what they know. Aesthetics asks what beauty is and whether it can be defined at all; phenomenology asks what perception itself actually consists of, which matters enormously to anyone trying to paint what they see rather than what they know is there; existentialism gave twentieth-century painters a vocabulary for anxiety, freedom and authenticity that shows up directly in Abstract Expressionism.</w:t>
      </w:r>
    </w:p>
    <w:p>
      <w:pPr>
        <w:spacing w:after="60" w:before="180"/>
      </w:pPr>
      <w:r>
        <w:rPr>
          <w:b/>
          <w:bCs/>
          <w:color w:val="8a5a2a"/>
          <w:sz w:val="19"/>
          <w:szCs w:val="19"/>
        </w:rPr>
        <w:t xml:space="preserve">CORE TOPICS</w:t>
      </w:r>
    </w:p>
    <w:p>
      <w:pPr>
        <w:pStyle w:val="ListParagraph"/>
        <w:numPr>
          <w:ilvl w:val="0"/>
          <w:numId w:val="2"/>
        </w:numPr>
        <w:spacing w:after="70"/>
      </w:pPr>
      <w:r>
        <w:rPr>
          <w:sz w:val="22"/>
          <w:szCs w:val="22"/>
        </w:rPr>
        <w:t xml:space="preserve">Ancient Philosophy: Plato's theory of Forms and mimesis, Aristotle's Poetics</w:t>
      </w:r>
    </w:p>
    <w:p>
      <w:pPr>
        <w:pStyle w:val="ListParagraph"/>
        <w:numPr>
          <w:ilvl w:val="0"/>
          <w:numId w:val="2"/>
        </w:numPr>
        <w:spacing w:after="70"/>
      </w:pPr>
      <w:r>
        <w:rPr>
          <w:sz w:val="22"/>
          <w:szCs w:val="22"/>
        </w:rPr>
        <w:t xml:space="preserve">Logic: basic argument structure, enough to read philosophy critically</w:t>
      </w:r>
    </w:p>
    <w:p>
      <w:pPr>
        <w:pStyle w:val="ListParagraph"/>
        <w:numPr>
          <w:ilvl w:val="0"/>
          <w:numId w:val="2"/>
        </w:numPr>
        <w:spacing w:after="70"/>
      </w:pPr>
      <w:r>
        <w:rPr>
          <w:sz w:val="22"/>
          <w:szCs w:val="22"/>
        </w:rPr>
        <w:t xml:space="preserve">Ethics: virtue, duty, and consequence as they appear in narrative painting</w:t>
      </w:r>
    </w:p>
    <w:p>
      <w:pPr>
        <w:pStyle w:val="ListParagraph"/>
        <w:numPr>
          <w:ilvl w:val="0"/>
          <w:numId w:val="2"/>
        </w:numPr>
        <w:spacing w:after="70"/>
      </w:pPr>
      <w:r>
        <w:rPr>
          <w:sz w:val="22"/>
          <w:szCs w:val="22"/>
        </w:rPr>
        <w:t xml:space="preserve">Aesthetics: beauty, the sublime, taste, and judgment</w:t>
      </w:r>
    </w:p>
    <w:p>
      <w:pPr>
        <w:pStyle w:val="ListParagraph"/>
        <w:numPr>
          <w:ilvl w:val="0"/>
          <w:numId w:val="2"/>
        </w:numPr>
        <w:spacing w:after="70"/>
      </w:pPr>
      <w:r>
        <w:rPr>
          <w:sz w:val="22"/>
          <w:szCs w:val="22"/>
        </w:rPr>
        <w:t xml:space="preserve">Phenomenology: perception, embodiment, the difference between seeing and knowing</w:t>
      </w:r>
    </w:p>
    <w:p>
      <w:pPr>
        <w:pStyle w:val="ListParagraph"/>
        <w:numPr>
          <w:ilvl w:val="0"/>
          <w:numId w:val="2"/>
        </w:numPr>
        <w:spacing w:after="70"/>
      </w:pPr>
      <w:r>
        <w:rPr>
          <w:sz w:val="22"/>
          <w:szCs w:val="22"/>
        </w:rPr>
        <w:t xml:space="preserve">Existentialism: freedom, anxiety, authenticity</w:t>
      </w:r>
    </w:p>
    <w:p>
      <w:pPr>
        <w:pStyle w:val="ListParagraph"/>
        <w:numPr>
          <w:ilvl w:val="0"/>
          <w:numId w:val="2"/>
        </w:numPr>
        <w:spacing w:after="70"/>
      </w:pPr>
      <w:r>
        <w:rPr>
          <w:sz w:val="22"/>
          <w:szCs w:val="22"/>
        </w:rPr>
        <w:t xml:space="preserve">Philosophy of Art: what a work of art actually is, and what it is for</w:t>
      </w:r>
    </w:p>
    <w:p>
      <w:pPr>
        <w:spacing w:after="60" w:before="180"/>
      </w:pPr>
      <w:r>
        <w:rPr>
          <w:b/>
          <w:bCs/>
          <w:color w:val="8a5a2a"/>
          <w:sz w:val="19"/>
          <w:szCs w:val="19"/>
        </w:rPr>
        <w:t xml:space="preserve">SUGGESTED READING &amp; STUDY</w:t>
      </w:r>
    </w:p>
    <w:p>
      <w:pPr>
        <w:pStyle w:val="ListParagraph"/>
        <w:numPr>
          <w:ilvl w:val="0"/>
          <w:numId w:val="2"/>
        </w:numPr>
        <w:spacing w:after="70"/>
      </w:pPr>
      <w:r>
        <w:rPr>
          <w:sz w:val="22"/>
          <w:szCs w:val="22"/>
        </w:rPr>
        <w:t xml:space="preserve">Plato, The Republic, Book X (on mimesis)</w:t>
      </w:r>
    </w:p>
    <w:p>
      <w:pPr>
        <w:pStyle w:val="ListParagraph"/>
        <w:numPr>
          <w:ilvl w:val="0"/>
          <w:numId w:val="2"/>
        </w:numPr>
        <w:spacing w:after="70"/>
      </w:pPr>
      <w:r>
        <w:rPr>
          <w:sz w:val="22"/>
          <w:szCs w:val="22"/>
        </w:rPr>
        <w:t xml:space="preserve">Aristotle, Poetics</w:t>
      </w:r>
    </w:p>
    <w:p>
      <w:pPr>
        <w:pStyle w:val="ListParagraph"/>
        <w:numPr>
          <w:ilvl w:val="0"/>
          <w:numId w:val="2"/>
        </w:numPr>
        <w:spacing w:after="70"/>
      </w:pPr>
      <w:r>
        <w:rPr>
          <w:sz w:val="22"/>
          <w:szCs w:val="22"/>
        </w:rPr>
        <w:t xml:space="preserve">Immanuel Kant, Critique of Judgment (selections on the sublime)</w:t>
      </w:r>
    </w:p>
    <w:p>
      <w:pPr>
        <w:pStyle w:val="ListParagraph"/>
        <w:numPr>
          <w:ilvl w:val="0"/>
          <w:numId w:val="2"/>
        </w:numPr>
        <w:spacing w:after="70"/>
      </w:pPr>
      <w:r>
        <w:rPr>
          <w:sz w:val="22"/>
          <w:szCs w:val="22"/>
        </w:rPr>
        <w:t xml:space="preserve">Edmund Burke, A Philosophical Enquiry into the Sublime and Beautiful</w:t>
      </w:r>
    </w:p>
    <w:p>
      <w:pPr>
        <w:pStyle w:val="ListParagraph"/>
        <w:numPr>
          <w:ilvl w:val="0"/>
          <w:numId w:val="2"/>
        </w:numPr>
        <w:spacing w:after="70"/>
      </w:pPr>
      <w:r>
        <w:rPr>
          <w:sz w:val="22"/>
          <w:szCs w:val="22"/>
        </w:rPr>
        <w:t xml:space="preserve">Maurice Merleau-Ponty, 'Eye and Mind'</w:t>
      </w:r>
    </w:p>
    <w:p>
      <w:pPr>
        <w:pStyle w:val="ListParagraph"/>
        <w:numPr>
          <w:ilvl w:val="0"/>
          <w:numId w:val="2"/>
        </w:numPr>
        <w:spacing w:after="70"/>
      </w:pPr>
      <w:r>
        <w:rPr>
          <w:sz w:val="22"/>
          <w:szCs w:val="22"/>
        </w:rPr>
        <w:t xml:space="preserve">Jean-Paul Sartre, Being and Nothingness (selections)</w:t>
      </w:r>
    </w:p>
    <w:p>
      <w:pPr>
        <w:spacing w:after="60" w:before="180"/>
      </w:pPr>
      <w:r>
        <w:rPr>
          <w:b/>
          <w:bCs/>
          <w:color w:val="8a5a2a"/>
          <w:sz w:val="19"/>
          <w:szCs w:val="19"/>
        </w:rPr>
        <w:t xml:space="preserve">PRACTICAL EXERCISE</w:t>
      </w:r>
    </w:p>
    <w:p>
      <w:pPr>
        <w:spacing w:after="160" w:line="276"/>
        <w:jc w:val="both"/>
      </w:pPr>
      <w:r>
        <w:rPr>
          <w:i w:val="false"/>
          <w:iCs w:val="false"/>
          <w:sz w:val="22"/>
          <w:szCs w:val="22"/>
        </w:rPr>
        <w:t xml:space="preserve">Read Merleau-Ponty's 'Eye and Mind' the same week you attempt a still life from direct observation. Note, in writing, every moment where what you paint contradicts what you 'know' the object looks like.</w:t>
      </w:r>
    </w:p>
    <w:p>
      <w:pPr>
        <w:pStyle w:val="Heading2"/>
        <w:spacing w:after="140" w:before="320"/>
      </w:pPr>
      <w:r>
        <w:rPr>
          <w:b/>
          <w:bCs/>
        </w:rPr>
        <w:t xml:space="preserve">Minor II — Literature</w:t>
      </w:r>
    </w:p>
    <w:p>
      <w:pPr>
        <w:spacing w:after="160" w:line="276"/>
        <w:jc w:val="both"/>
      </w:pPr>
      <w:r>
        <w:rPr>
          <w:i w:val="false"/>
          <w:iCs w:val="false"/>
          <w:sz w:val="22"/>
          <w:szCs w:val="22"/>
        </w:rPr>
        <w:t xml:space="preserve">This is not literary analysis for its own sake — it is the question 'what books shaped artists?' Painters have always been readers, and entire movements are unreadable without their literary sources: Pre-Raphaelite painting without Dante and Malory, Symbolism without Baudelaire, Surrealism without the unconscious explored by Joyce and Woolf.</w:t>
      </w:r>
    </w:p>
    <w:p>
      <w:pPr>
        <w:spacing w:after="60" w:before="180"/>
      </w:pPr>
      <w:r>
        <w:rPr>
          <w:b/>
          <w:bCs/>
          <w:color w:val="8a5a2a"/>
          <w:sz w:val="19"/>
          <w:szCs w:val="19"/>
        </w:rPr>
        <w:t xml:space="preserve">CORE TOPICS</w:t>
      </w:r>
    </w:p>
    <w:p>
      <w:pPr>
        <w:pStyle w:val="ListParagraph"/>
        <w:numPr>
          <w:ilvl w:val="0"/>
          <w:numId w:val="2"/>
        </w:numPr>
        <w:spacing w:after="70"/>
      </w:pPr>
      <w:r>
        <w:rPr>
          <w:sz w:val="22"/>
          <w:szCs w:val="22"/>
        </w:rPr>
        <w:t xml:space="preserve">Epic and myth as the raw material of history painting</w:t>
      </w:r>
    </w:p>
    <w:p>
      <w:pPr>
        <w:pStyle w:val="ListParagraph"/>
        <w:numPr>
          <w:ilvl w:val="0"/>
          <w:numId w:val="2"/>
        </w:numPr>
        <w:spacing w:after="70"/>
      </w:pPr>
      <w:r>
        <w:rPr>
          <w:sz w:val="22"/>
          <w:szCs w:val="22"/>
        </w:rPr>
        <w:t xml:space="preserve">The Divine Comedy and its afterlife in Blake, Delacroix, Rodin, and the Pre-Raphaelites</w:t>
      </w:r>
    </w:p>
    <w:p>
      <w:pPr>
        <w:pStyle w:val="ListParagraph"/>
        <w:numPr>
          <w:ilvl w:val="0"/>
          <w:numId w:val="2"/>
        </w:numPr>
        <w:spacing w:after="70"/>
      </w:pPr>
      <w:r>
        <w:rPr>
          <w:sz w:val="22"/>
          <w:szCs w:val="22"/>
        </w:rPr>
        <w:t xml:space="preserve">Shakespeare as a source for centuries of narrative painting</w:t>
      </w:r>
    </w:p>
    <w:p>
      <w:pPr>
        <w:pStyle w:val="ListParagraph"/>
        <w:numPr>
          <w:ilvl w:val="0"/>
          <w:numId w:val="2"/>
        </w:numPr>
        <w:spacing w:after="70"/>
      </w:pPr>
      <w:r>
        <w:rPr>
          <w:sz w:val="22"/>
          <w:szCs w:val="22"/>
        </w:rPr>
        <w:t xml:space="preserve">The novel and the rise of psychological interiority</w:t>
      </w:r>
    </w:p>
    <w:p>
      <w:pPr>
        <w:pStyle w:val="ListParagraph"/>
        <w:numPr>
          <w:ilvl w:val="0"/>
          <w:numId w:val="2"/>
        </w:numPr>
        <w:spacing w:after="70"/>
      </w:pPr>
      <w:r>
        <w:rPr>
          <w:sz w:val="22"/>
          <w:szCs w:val="22"/>
        </w:rPr>
        <w:t xml:space="preserve">Symbolist and Decadent poetry alongside Symbolist painting</w:t>
      </w:r>
    </w:p>
    <w:p>
      <w:pPr>
        <w:pStyle w:val="ListParagraph"/>
        <w:numPr>
          <w:ilvl w:val="0"/>
          <w:numId w:val="2"/>
        </w:numPr>
        <w:spacing w:after="70"/>
      </w:pPr>
      <w:r>
        <w:rPr>
          <w:sz w:val="22"/>
          <w:szCs w:val="22"/>
        </w:rPr>
        <w:t xml:space="preserve">Modernist stream-of-consciousness alongside abstraction</w:t>
      </w:r>
    </w:p>
    <w:p>
      <w:pPr>
        <w:spacing w:after="60" w:before="180"/>
      </w:pPr>
      <w:r>
        <w:rPr>
          <w:b/>
          <w:bCs/>
          <w:color w:val="8a5a2a"/>
          <w:sz w:val="19"/>
          <w:szCs w:val="19"/>
        </w:rPr>
        <w:t xml:space="preserve">SUGGESTED READING &amp; STUDY</w:t>
      </w:r>
    </w:p>
    <w:p>
      <w:pPr>
        <w:pStyle w:val="ListParagraph"/>
        <w:numPr>
          <w:ilvl w:val="0"/>
          <w:numId w:val="2"/>
        </w:numPr>
        <w:spacing w:after="70"/>
      </w:pPr>
      <w:r>
        <w:rPr>
          <w:sz w:val="22"/>
          <w:szCs w:val="22"/>
        </w:rPr>
        <w:t xml:space="preserve">Homer, The Iliad and The Odyssey</w:t>
      </w:r>
    </w:p>
    <w:p>
      <w:pPr>
        <w:pStyle w:val="ListParagraph"/>
        <w:numPr>
          <w:ilvl w:val="0"/>
          <w:numId w:val="2"/>
        </w:numPr>
        <w:spacing w:after="70"/>
      </w:pPr>
      <w:r>
        <w:rPr>
          <w:sz w:val="22"/>
          <w:szCs w:val="22"/>
        </w:rPr>
        <w:t xml:space="preserve">Dante, The Divine Comedy</w:t>
      </w:r>
    </w:p>
    <w:p>
      <w:pPr>
        <w:pStyle w:val="ListParagraph"/>
        <w:numPr>
          <w:ilvl w:val="0"/>
          <w:numId w:val="2"/>
        </w:numPr>
        <w:spacing w:after="70"/>
      </w:pPr>
      <w:r>
        <w:rPr>
          <w:sz w:val="22"/>
          <w:szCs w:val="22"/>
        </w:rPr>
        <w:t xml:space="preserve">William Shakespeare, selected plays (Hamlet, The Tempest, Macbeth)</w:t>
      </w:r>
    </w:p>
    <w:p>
      <w:pPr>
        <w:pStyle w:val="ListParagraph"/>
        <w:numPr>
          <w:ilvl w:val="0"/>
          <w:numId w:val="2"/>
        </w:numPr>
        <w:spacing w:after="70"/>
      </w:pPr>
      <w:r>
        <w:rPr>
          <w:sz w:val="22"/>
          <w:szCs w:val="22"/>
        </w:rPr>
        <w:t xml:space="preserve">Miguel de Cervantes, Don Quixote</w:t>
      </w:r>
    </w:p>
    <w:p>
      <w:pPr>
        <w:pStyle w:val="ListParagraph"/>
        <w:numPr>
          <w:ilvl w:val="0"/>
          <w:numId w:val="2"/>
        </w:numPr>
        <w:spacing w:after="70"/>
      </w:pPr>
      <w:r>
        <w:rPr>
          <w:sz w:val="22"/>
          <w:szCs w:val="22"/>
        </w:rPr>
        <w:t xml:space="preserve">Johann Wolfgang von Goethe, Faust</w:t>
      </w:r>
    </w:p>
    <w:p>
      <w:pPr>
        <w:pStyle w:val="ListParagraph"/>
        <w:numPr>
          <w:ilvl w:val="0"/>
          <w:numId w:val="2"/>
        </w:numPr>
        <w:spacing w:after="70"/>
      </w:pPr>
      <w:r>
        <w:rPr>
          <w:sz w:val="22"/>
          <w:szCs w:val="22"/>
        </w:rPr>
        <w:t xml:space="preserve">Charles Baudelaire, The Flowers of Evil</w:t>
      </w:r>
    </w:p>
    <w:p>
      <w:pPr>
        <w:pStyle w:val="ListParagraph"/>
        <w:numPr>
          <w:ilvl w:val="0"/>
          <w:numId w:val="2"/>
        </w:numPr>
        <w:spacing w:after="70"/>
      </w:pPr>
      <w:r>
        <w:rPr>
          <w:sz w:val="22"/>
          <w:szCs w:val="22"/>
        </w:rPr>
        <w:t xml:space="preserve">James Joyce, Dubliners (start here before Ulysses)</w:t>
      </w:r>
    </w:p>
    <w:p>
      <w:pPr>
        <w:pStyle w:val="ListParagraph"/>
        <w:numPr>
          <w:ilvl w:val="0"/>
          <w:numId w:val="2"/>
        </w:numPr>
        <w:spacing w:after="70"/>
      </w:pPr>
      <w:r>
        <w:rPr>
          <w:sz w:val="22"/>
          <w:szCs w:val="22"/>
        </w:rPr>
        <w:t xml:space="preserve">Virginia Woolf, To the Lighthouse</w:t>
      </w:r>
    </w:p>
    <w:p>
      <w:pPr>
        <w:spacing w:after="60" w:before="180"/>
      </w:pPr>
      <w:r>
        <w:rPr>
          <w:b/>
          <w:bCs/>
          <w:color w:val="8a5a2a"/>
          <w:sz w:val="19"/>
          <w:szCs w:val="19"/>
        </w:rPr>
        <w:t xml:space="preserve">PRACTICAL EXERCISE</w:t>
      </w:r>
    </w:p>
    <w:p>
      <w:pPr>
        <w:spacing w:after="160" w:line="276"/>
        <w:jc w:val="both"/>
      </w:pPr>
      <w:r>
        <w:rPr>
          <w:i w:val="false"/>
          <w:iCs w:val="false"/>
          <w:sz w:val="22"/>
          <w:szCs w:val="22"/>
        </w:rPr>
        <w:t xml:space="preserve">Choose one canvas from this handbook drawn directly from literature (Delacroix's Dante and Virgil, Millais's Ophelia). Read the source passage, then write two hundred words on exactly what the painter chose to include, omit, and invent.</w:t>
      </w:r>
    </w:p>
    <w:p>
      <w:pPr>
        <w:pStyle w:val="Heading2"/>
        <w:spacing w:after="140" w:before="320"/>
      </w:pPr>
      <w:r>
        <w:rPr>
          <w:b/>
          <w:bCs/>
        </w:rPr>
        <w:t xml:space="preserve">Minor III — History</w:t>
      </w:r>
    </w:p>
    <w:p>
      <w:pPr>
        <w:spacing w:after="160" w:line="276"/>
        <w:jc w:val="both"/>
      </w:pPr>
      <w:r>
        <w:rPr>
          <w:i w:val="false"/>
          <w:iCs w:val="false"/>
          <w:sz w:val="22"/>
          <w:szCs w:val="22"/>
        </w:rPr>
        <w:t xml:space="preserve">Not dates for their own sake, but the structural forces — political change, cities, trade, religion, technology, empire — that determined who could commission art, what subjects were permitted, and which cities became artistic capitals in the first place.</w:t>
      </w:r>
    </w:p>
    <w:p>
      <w:pPr>
        <w:spacing w:after="60" w:before="180"/>
      </w:pPr>
      <w:r>
        <w:rPr>
          <w:b/>
          <w:bCs/>
          <w:color w:val="8a5a2a"/>
          <w:sz w:val="19"/>
          <w:szCs w:val="19"/>
        </w:rPr>
        <w:t xml:space="preserve">CORE TOPICS</w:t>
      </w:r>
    </w:p>
    <w:p>
      <w:pPr>
        <w:pStyle w:val="ListParagraph"/>
        <w:numPr>
          <w:ilvl w:val="0"/>
          <w:numId w:val="2"/>
        </w:numPr>
        <w:spacing w:after="70"/>
      </w:pPr>
      <w:r>
        <w:rPr>
          <w:sz w:val="22"/>
          <w:szCs w:val="22"/>
        </w:rPr>
        <w:t xml:space="preserve">The rise and fall of the city-state (Florence, Venice, Siena)</w:t>
      </w:r>
    </w:p>
    <w:p>
      <w:pPr>
        <w:pStyle w:val="ListParagraph"/>
        <w:numPr>
          <w:ilvl w:val="0"/>
          <w:numId w:val="2"/>
        </w:numPr>
        <w:spacing w:after="70"/>
      </w:pPr>
      <w:r>
        <w:rPr>
          <w:sz w:val="22"/>
          <w:szCs w:val="22"/>
        </w:rPr>
        <w:t xml:space="preserve">Reformation and Counter-Reformation as image politics</w:t>
      </w:r>
    </w:p>
    <w:p>
      <w:pPr>
        <w:pStyle w:val="ListParagraph"/>
        <w:numPr>
          <w:ilvl w:val="0"/>
          <w:numId w:val="2"/>
        </w:numPr>
        <w:spacing w:after="70"/>
      </w:pPr>
      <w:r>
        <w:rPr>
          <w:sz w:val="22"/>
          <w:szCs w:val="22"/>
        </w:rPr>
        <w:t xml:space="preserve">Absolute monarchy and court patronage</w:t>
      </w:r>
    </w:p>
    <w:p>
      <w:pPr>
        <w:pStyle w:val="ListParagraph"/>
        <w:numPr>
          <w:ilvl w:val="0"/>
          <w:numId w:val="2"/>
        </w:numPr>
        <w:spacing w:after="70"/>
      </w:pPr>
      <w:r>
        <w:rPr>
          <w:sz w:val="22"/>
          <w:szCs w:val="22"/>
        </w:rPr>
        <w:t xml:space="preserve">Revolution — American, French, and their visual propaganda</w:t>
      </w:r>
    </w:p>
    <w:p>
      <w:pPr>
        <w:pStyle w:val="ListParagraph"/>
        <w:numPr>
          <w:ilvl w:val="0"/>
          <w:numId w:val="2"/>
        </w:numPr>
        <w:spacing w:after="70"/>
      </w:pPr>
      <w:r>
        <w:rPr>
          <w:sz w:val="22"/>
          <w:szCs w:val="22"/>
        </w:rPr>
        <w:t xml:space="preserve">Empire and colonial trade as an art-market force</w:t>
      </w:r>
    </w:p>
    <w:p>
      <w:pPr>
        <w:pStyle w:val="ListParagraph"/>
        <w:numPr>
          <w:ilvl w:val="0"/>
          <w:numId w:val="2"/>
        </w:numPr>
        <w:spacing w:after="70"/>
      </w:pPr>
      <w:r>
        <w:rPr>
          <w:sz w:val="22"/>
          <w:szCs w:val="22"/>
        </w:rPr>
        <w:t xml:space="preserve">Industrialisation and the birth of the modern city</w:t>
      </w:r>
    </w:p>
    <w:p>
      <w:pPr>
        <w:spacing w:after="60" w:before="180"/>
      </w:pPr>
      <w:r>
        <w:rPr>
          <w:b/>
          <w:bCs/>
          <w:color w:val="8a5a2a"/>
          <w:sz w:val="19"/>
          <w:szCs w:val="19"/>
        </w:rPr>
        <w:t xml:space="preserve">SUGGESTED READING &amp; STUDY</w:t>
      </w:r>
    </w:p>
    <w:p>
      <w:pPr>
        <w:pStyle w:val="ListParagraph"/>
        <w:numPr>
          <w:ilvl w:val="0"/>
          <w:numId w:val="2"/>
        </w:numPr>
        <w:spacing w:after="70"/>
      </w:pPr>
      <w:r>
        <w:rPr>
          <w:sz w:val="22"/>
          <w:szCs w:val="22"/>
        </w:rPr>
        <w:t xml:space="preserve">Fernand Braudel, The Mediterranean and the Mediterranean World (selections)</w:t>
      </w:r>
    </w:p>
    <w:p>
      <w:pPr>
        <w:pStyle w:val="ListParagraph"/>
        <w:numPr>
          <w:ilvl w:val="0"/>
          <w:numId w:val="2"/>
        </w:numPr>
        <w:spacing w:after="70"/>
      </w:pPr>
      <w:r>
        <w:rPr>
          <w:sz w:val="22"/>
          <w:szCs w:val="22"/>
        </w:rPr>
        <w:t xml:space="preserve">Peter Burke, The Italian Renaissance: Culture and Society in Italy</w:t>
      </w:r>
    </w:p>
    <w:p>
      <w:pPr>
        <w:pStyle w:val="ListParagraph"/>
        <w:numPr>
          <w:ilvl w:val="0"/>
          <w:numId w:val="2"/>
        </w:numPr>
        <w:spacing w:after="70"/>
      </w:pPr>
      <w:r>
        <w:rPr>
          <w:sz w:val="22"/>
          <w:szCs w:val="22"/>
        </w:rPr>
        <w:t xml:space="preserve">Eric Hobsbawm, The Age of Revolution: 1789–1848</w:t>
      </w:r>
    </w:p>
    <w:p>
      <w:pPr>
        <w:pStyle w:val="ListParagraph"/>
        <w:numPr>
          <w:ilvl w:val="0"/>
          <w:numId w:val="2"/>
        </w:numPr>
        <w:spacing w:after="70"/>
      </w:pPr>
      <w:r>
        <w:rPr>
          <w:sz w:val="22"/>
          <w:szCs w:val="22"/>
        </w:rPr>
        <w:t xml:space="preserve">E.H. Carr, What Is History?</w:t>
      </w:r>
    </w:p>
    <w:p>
      <w:pPr>
        <w:spacing w:after="60" w:before="180"/>
      </w:pPr>
      <w:r>
        <w:rPr>
          <w:b/>
          <w:bCs/>
          <w:color w:val="8a5a2a"/>
          <w:sz w:val="19"/>
          <w:szCs w:val="19"/>
        </w:rPr>
        <w:t xml:space="preserve">PRACTICAL EXERCISE</w:t>
      </w:r>
    </w:p>
    <w:p>
      <w:pPr>
        <w:spacing w:after="160" w:line="276"/>
        <w:jc w:val="both"/>
      </w:pPr>
      <w:r>
        <w:rPr>
          <w:i w:val="false"/>
          <w:iCs w:val="false"/>
          <w:sz w:val="22"/>
          <w:szCs w:val="22"/>
        </w:rPr>
        <w:t xml:space="preserve">For any one painting in Part I, write a one-page 'patronage note': who paid for it, why, what they wanted from it, and what constraints that placed on the artist.</w:t>
      </w:r>
    </w:p>
    <w:p>
      <w:pPr>
        <w:pStyle w:val="Heading2"/>
        <w:spacing w:after="140" w:before="320"/>
      </w:pPr>
      <w:r>
        <w:rPr>
          <w:b/>
          <w:bCs/>
        </w:rPr>
        <w:t xml:space="preserve">Minor IV — Geography</w:t>
      </w:r>
    </w:p>
    <w:p>
      <w:pPr>
        <w:spacing w:after="160" w:line="276"/>
        <w:jc w:val="both"/>
      </w:pPr>
      <w:r>
        <w:rPr>
          <w:i w:val="false"/>
          <w:iCs w:val="false"/>
          <w:sz w:val="22"/>
          <w:szCs w:val="22"/>
        </w:rPr>
        <w:t xml:space="preserve">Landscape shapes civilisation, and civilisation shapes what gets painted. Florence sat on a river trade route with wool money to spend; Venice grew rich on maritime trade with the East and painted in a correspondingly luminous, colour-saturated way; Paris centralised patronage, academies and dealers in one city; Edinburgh's stone, light and topography produced a specific and recognisable visual culture of its own.</w:t>
      </w:r>
    </w:p>
    <w:p>
      <w:pPr>
        <w:spacing w:after="60" w:before="180"/>
      </w:pPr>
      <w:r>
        <w:rPr>
          <w:b/>
          <w:bCs/>
          <w:color w:val="8a5a2a"/>
          <w:sz w:val="19"/>
          <w:szCs w:val="19"/>
        </w:rPr>
        <w:t xml:space="preserve">CORE TOPICS</w:t>
      </w:r>
    </w:p>
    <w:p>
      <w:pPr>
        <w:pStyle w:val="ListParagraph"/>
        <w:numPr>
          <w:ilvl w:val="0"/>
          <w:numId w:val="2"/>
        </w:numPr>
        <w:spacing w:after="70"/>
      </w:pPr>
      <w:r>
        <w:rPr>
          <w:sz w:val="22"/>
          <w:szCs w:val="22"/>
        </w:rPr>
        <w:t xml:space="preserve">Why Florence: rivers, wool trade, banking, and civic pride</w:t>
      </w:r>
    </w:p>
    <w:p>
      <w:pPr>
        <w:pStyle w:val="ListParagraph"/>
        <w:numPr>
          <w:ilvl w:val="0"/>
          <w:numId w:val="2"/>
        </w:numPr>
        <w:spacing w:after="70"/>
      </w:pPr>
      <w:r>
        <w:rPr>
          <w:sz w:val="22"/>
          <w:szCs w:val="22"/>
        </w:rPr>
        <w:t xml:space="preserve">Why Venice: the lagoon, maritime empire, and trade with Byzantium and the Islamic world</w:t>
      </w:r>
    </w:p>
    <w:p>
      <w:pPr>
        <w:pStyle w:val="ListParagraph"/>
        <w:numPr>
          <w:ilvl w:val="0"/>
          <w:numId w:val="2"/>
        </w:numPr>
        <w:spacing w:after="70"/>
      </w:pPr>
      <w:r>
        <w:rPr>
          <w:sz w:val="22"/>
          <w:szCs w:val="22"/>
        </w:rPr>
        <w:t xml:space="preserve">Why Paris became the capital of nineteenth-century art: centralisation, academies, dealers</w:t>
      </w:r>
    </w:p>
    <w:p>
      <w:pPr>
        <w:pStyle w:val="ListParagraph"/>
        <w:numPr>
          <w:ilvl w:val="0"/>
          <w:numId w:val="2"/>
        </w:numPr>
        <w:spacing w:after="70"/>
      </w:pPr>
      <w:r>
        <w:rPr>
          <w:sz w:val="22"/>
          <w:szCs w:val="22"/>
        </w:rPr>
        <w:t xml:space="preserve">Why Edinburgh looks the way it does: geology, light, and the Enlightenment city</w:t>
      </w:r>
    </w:p>
    <w:p>
      <w:pPr>
        <w:pStyle w:val="ListParagraph"/>
        <w:numPr>
          <w:ilvl w:val="0"/>
          <w:numId w:val="2"/>
        </w:numPr>
        <w:spacing w:after="70"/>
      </w:pPr>
      <w:r>
        <w:rPr>
          <w:sz w:val="22"/>
          <w:szCs w:val="22"/>
        </w:rPr>
        <w:t xml:space="preserve">Regional light and its effect on palette: Provence, the Dutch coast, the Scottish Highlands</w:t>
      </w:r>
    </w:p>
    <w:p>
      <w:pPr>
        <w:spacing w:after="60" w:before="180"/>
      </w:pPr>
      <w:r>
        <w:rPr>
          <w:b/>
          <w:bCs/>
          <w:color w:val="8a5a2a"/>
          <w:sz w:val="19"/>
          <w:szCs w:val="19"/>
        </w:rPr>
        <w:t xml:space="preserve">SUGGESTED READING &amp; STUDY</w:t>
      </w:r>
    </w:p>
    <w:p>
      <w:pPr>
        <w:pStyle w:val="ListParagraph"/>
        <w:numPr>
          <w:ilvl w:val="0"/>
          <w:numId w:val="2"/>
        </w:numPr>
        <w:spacing w:after="70"/>
      </w:pPr>
      <w:r>
        <w:rPr>
          <w:sz w:val="22"/>
          <w:szCs w:val="22"/>
        </w:rPr>
        <w:t xml:space="preserve">Fernand Braudel, Civilization and Capitalism (selections on trade cities)</w:t>
      </w:r>
    </w:p>
    <w:p>
      <w:pPr>
        <w:pStyle w:val="ListParagraph"/>
        <w:numPr>
          <w:ilvl w:val="0"/>
          <w:numId w:val="2"/>
        </w:numPr>
        <w:spacing w:after="70"/>
      </w:pPr>
      <w:r>
        <w:rPr>
          <w:sz w:val="22"/>
          <w:szCs w:val="22"/>
        </w:rPr>
        <w:t xml:space="preserve">Peter Ackroyd, Venice: Pure City</w:t>
      </w:r>
    </w:p>
    <w:p>
      <w:pPr>
        <w:pStyle w:val="ListParagraph"/>
        <w:numPr>
          <w:ilvl w:val="0"/>
          <w:numId w:val="2"/>
        </w:numPr>
        <w:spacing w:after="70"/>
      </w:pPr>
      <w:r>
        <w:rPr>
          <w:sz w:val="22"/>
          <w:szCs w:val="22"/>
        </w:rPr>
        <w:t xml:space="preserve">Jonathan Jones, essays on regional light and landscape painting</w:t>
      </w:r>
    </w:p>
    <w:p>
      <w:pPr>
        <w:spacing w:after="60" w:before="180"/>
      </w:pPr>
      <w:r>
        <w:rPr>
          <w:b/>
          <w:bCs/>
          <w:color w:val="8a5a2a"/>
          <w:sz w:val="19"/>
          <w:szCs w:val="19"/>
        </w:rPr>
        <w:t xml:space="preserve">PRACTICAL EXERCISE</w:t>
      </w:r>
    </w:p>
    <w:p>
      <w:pPr>
        <w:spacing w:after="160" w:line="276"/>
        <w:jc w:val="both"/>
      </w:pPr>
      <w:r>
        <w:rPr>
          <w:i w:val="false"/>
          <w:iCs w:val="false"/>
          <w:sz w:val="22"/>
          <w:szCs w:val="22"/>
        </w:rPr>
        <w:t xml:space="preserve">Pick a city from this handbook you have visited or can visit. Walk it deliberately, noting the quality of light, the building stone, and the water or hills nearby — then find one painting produced there and identify which of these physical facts appears in it.</w:t>
      </w:r>
    </w:p>
    <w:p>
      <w:pPr>
        <w:pStyle w:val="Heading2"/>
        <w:spacing w:after="140" w:before="320"/>
      </w:pPr>
      <w:r>
        <w:rPr>
          <w:b/>
          <w:bCs/>
        </w:rPr>
        <w:t xml:space="preserve">Minor V — Ecology</w:t>
      </w:r>
    </w:p>
    <w:p>
      <w:pPr>
        <w:spacing w:after="160" w:line="276"/>
        <w:jc w:val="both"/>
      </w:pPr>
      <w:r>
        <w:rPr>
          <w:i w:val="false"/>
          <w:iCs w:val="false"/>
          <w:sz w:val="22"/>
          <w:szCs w:val="22"/>
        </w:rPr>
        <w:t xml:space="preserve">Not environmental politics, but the things painters actually observe: trees, rivers, weather, seasons, geology. A landscape painter who cannot identify a species of tree, read a cloud formation, or understand how a river valley was carved will paint a generic landscape rather than a specific, truthful one.</w:t>
      </w:r>
    </w:p>
    <w:p>
      <w:pPr>
        <w:spacing w:after="60" w:before="180"/>
      </w:pPr>
      <w:r>
        <w:rPr>
          <w:b/>
          <w:bCs/>
          <w:color w:val="8a5a2a"/>
          <w:sz w:val="19"/>
          <w:szCs w:val="19"/>
        </w:rPr>
        <w:t xml:space="preserve">CORE TOPICS</w:t>
      </w:r>
    </w:p>
    <w:p>
      <w:pPr>
        <w:pStyle w:val="ListParagraph"/>
        <w:numPr>
          <w:ilvl w:val="0"/>
          <w:numId w:val="2"/>
        </w:numPr>
        <w:spacing w:after="70"/>
      </w:pPr>
      <w:r>
        <w:rPr>
          <w:sz w:val="22"/>
          <w:szCs w:val="22"/>
        </w:rPr>
        <w:t xml:space="preserve">Tree identification and seasonal change, especially species common in European landscape painting</w:t>
      </w:r>
    </w:p>
    <w:p>
      <w:pPr>
        <w:pStyle w:val="ListParagraph"/>
        <w:numPr>
          <w:ilvl w:val="0"/>
          <w:numId w:val="2"/>
        </w:numPr>
        <w:spacing w:after="70"/>
      </w:pPr>
      <w:r>
        <w:rPr>
          <w:sz w:val="22"/>
          <w:szCs w:val="22"/>
        </w:rPr>
        <w:t xml:space="preserve">Cloud types and weather systems, particularly relevant to Constable and Turner</w:t>
      </w:r>
    </w:p>
    <w:p>
      <w:pPr>
        <w:pStyle w:val="ListParagraph"/>
        <w:numPr>
          <w:ilvl w:val="0"/>
          <w:numId w:val="2"/>
        </w:numPr>
        <w:spacing w:after="70"/>
      </w:pPr>
      <w:r>
        <w:rPr>
          <w:sz w:val="22"/>
          <w:szCs w:val="22"/>
        </w:rPr>
        <w:t xml:space="preserve">River systems, erosion, and valley formation</w:t>
      </w:r>
    </w:p>
    <w:p>
      <w:pPr>
        <w:pStyle w:val="ListParagraph"/>
        <w:numPr>
          <w:ilvl w:val="0"/>
          <w:numId w:val="2"/>
        </w:numPr>
        <w:spacing w:after="70"/>
      </w:pPr>
      <w:r>
        <w:rPr>
          <w:sz w:val="22"/>
          <w:szCs w:val="22"/>
        </w:rPr>
        <w:t xml:space="preserve">Basic geology: how limestone, chalk, granite and sandstone produce different landscapes and different light</w:t>
      </w:r>
    </w:p>
    <w:p>
      <w:pPr>
        <w:pStyle w:val="ListParagraph"/>
        <w:numPr>
          <w:ilvl w:val="0"/>
          <w:numId w:val="2"/>
        </w:numPr>
        <w:spacing w:after="70"/>
      </w:pPr>
      <w:r>
        <w:rPr>
          <w:sz w:val="22"/>
          <w:szCs w:val="22"/>
        </w:rPr>
        <w:t xml:space="preserve">The seasonal cycle as a compositional structure (Bruegel's Months, Monet's series paintings)</w:t>
      </w:r>
    </w:p>
    <w:p>
      <w:pPr>
        <w:spacing w:after="60" w:before="180"/>
      </w:pPr>
      <w:r>
        <w:rPr>
          <w:b/>
          <w:bCs/>
          <w:color w:val="8a5a2a"/>
          <w:sz w:val="19"/>
          <w:szCs w:val="19"/>
        </w:rPr>
        <w:t xml:space="preserve">SUGGESTED READING &amp; STUDY</w:t>
      </w:r>
    </w:p>
    <w:p>
      <w:pPr>
        <w:pStyle w:val="ListParagraph"/>
        <w:numPr>
          <w:ilvl w:val="0"/>
          <w:numId w:val="2"/>
        </w:numPr>
        <w:spacing w:after="70"/>
      </w:pPr>
      <w:r>
        <w:rPr>
          <w:sz w:val="22"/>
          <w:szCs w:val="22"/>
        </w:rPr>
        <w:t xml:space="preserve">John Constable's cloud studies and letters on skying</w:t>
      </w:r>
    </w:p>
    <w:p>
      <w:pPr>
        <w:pStyle w:val="ListParagraph"/>
        <w:numPr>
          <w:ilvl w:val="0"/>
          <w:numId w:val="2"/>
        </w:numPr>
        <w:spacing w:after="70"/>
      </w:pPr>
      <w:r>
        <w:rPr>
          <w:sz w:val="22"/>
          <w:szCs w:val="22"/>
        </w:rPr>
        <w:t xml:space="preserve">Richard Mabey, Flora Britannica (reference)</w:t>
      </w:r>
    </w:p>
    <w:p>
      <w:pPr>
        <w:pStyle w:val="ListParagraph"/>
        <w:numPr>
          <w:ilvl w:val="0"/>
          <w:numId w:val="2"/>
        </w:numPr>
        <w:spacing w:after="70"/>
      </w:pPr>
      <w:r>
        <w:rPr>
          <w:sz w:val="22"/>
          <w:szCs w:val="22"/>
        </w:rPr>
        <w:t xml:space="preserve">Marcia Bjornerud, Reading the Rocks: An Introduction to Geology</w:t>
      </w:r>
    </w:p>
    <w:p>
      <w:pPr>
        <w:pStyle w:val="ListParagraph"/>
        <w:numPr>
          <w:ilvl w:val="0"/>
          <w:numId w:val="2"/>
        </w:numPr>
        <w:spacing w:after="70"/>
      </w:pPr>
      <w:r>
        <w:rPr>
          <w:sz w:val="22"/>
          <w:szCs w:val="22"/>
        </w:rPr>
        <w:t xml:space="preserve">John Ruskin, Modern Painters, volume on 'Of Truth' (skies and mountains)</w:t>
      </w:r>
    </w:p>
    <w:p>
      <w:pPr>
        <w:spacing w:after="60" w:before="180"/>
      </w:pPr>
      <w:r>
        <w:rPr>
          <w:b/>
          <w:bCs/>
          <w:color w:val="8a5a2a"/>
          <w:sz w:val="19"/>
          <w:szCs w:val="19"/>
        </w:rPr>
        <w:t xml:space="preserve">PRACTICAL EXERCISE</w:t>
      </w:r>
    </w:p>
    <w:p>
      <w:pPr>
        <w:spacing w:after="160" w:line="276"/>
        <w:jc w:val="both"/>
      </w:pPr>
      <w:r>
        <w:rPr>
          <w:i w:val="false"/>
          <w:iCs w:val="false"/>
          <w:sz w:val="22"/>
          <w:szCs w:val="22"/>
        </w:rPr>
        <w:t xml:space="preserve">Spend one hour outdoors with a sketchbook, naming rather than merely drawing: identify the tree species, the cloud type, and the rock or soil underfoot before you make a single mark.</w:t>
      </w:r>
    </w:p>
    <w:p>
      <w:pPr>
        <w:pStyle w:val="Heading2"/>
        <w:spacing w:after="140" w:before="320"/>
      </w:pPr>
      <w:r>
        <w:rPr>
          <w:b/>
          <w:bCs/>
        </w:rPr>
        <w:t xml:space="preserve">Minor VI — Biology &amp; Anatomy</w:t>
      </w:r>
    </w:p>
    <w:p>
      <w:pPr>
        <w:spacing w:after="160" w:line="276"/>
        <w:jc w:val="both"/>
      </w:pPr>
      <w:r>
        <w:rPr>
          <w:i w:val="false"/>
          <w:iCs w:val="false"/>
          <w:sz w:val="22"/>
          <w:szCs w:val="22"/>
        </w:rPr>
        <w:t xml:space="preserve">Anatomy, perception, and botany are the sciences painters have always needed most directly. Renaissance figure painting depended on dissection; the study of vision and perception explains why certain painted illusions work on the eye at all; botanical accuracy underpins everything from Northern Renaissance symbolism to Pre-Raphaelite detail.</w:t>
      </w:r>
    </w:p>
    <w:p>
      <w:pPr>
        <w:spacing w:after="60" w:before="180"/>
      </w:pPr>
      <w:r>
        <w:rPr>
          <w:b/>
          <w:bCs/>
          <w:color w:val="8a5a2a"/>
          <w:sz w:val="19"/>
          <w:szCs w:val="19"/>
        </w:rPr>
        <w:t xml:space="preserve">CORE TOPICS</w:t>
      </w:r>
    </w:p>
    <w:p>
      <w:pPr>
        <w:pStyle w:val="ListParagraph"/>
        <w:numPr>
          <w:ilvl w:val="0"/>
          <w:numId w:val="2"/>
        </w:numPr>
        <w:spacing w:after="70"/>
      </w:pPr>
      <w:r>
        <w:rPr>
          <w:sz w:val="22"/>
          <w:szCs w:val="22"/>
        </w:rPr>
        <w:t xml:space="preserve">Skeletal and muscular anatomy sufficient for figure drawing</w:t>
      </w:r>
    </w:p>
    <w:p>
      <w:pPr>
        <w:pStyle w:val="ListParagraph"/>
        <w:numPr>
          <w:ilvl w:val="0"/>
          <w:numId w:val="2"/>
        </w:numPr>
        <w:spacing w:after="70"/>
      </w:pPr>
      <w:r>
        <w:rPr>
          <w:sz w:val="22"/>
          <w:szCs w:val="22"/>
        </w:rPr>
        <w:t xml:space="preserve">The anatomy of the head, hands, and feet, the hardest and most revealing parts</w:t>
      </w:r>
    </w:p>
    <w:p>
      <w:pPr>
        <w:pStyle w:val="ListParagraph"/>
        <w:numPr>
          <w:ilvl w:val="0"/>
          <w:numId w:val="2"/>
        </w:numPr>
        <w:spacing w:after="70"/>
      </w:pPr>
      <w:r>
        <w:rPr>
          <w:sz w:val="22"/>
          <w:szCs w:val="22"/>
        </w:rPr>
        <w:t xml:space="preserve">The physiology of vision: how the eye and brain construct colour, depth and motion</w:t>
      </w:r>
    </w:p>
    <w:p>
      <w:pPr>
        <w:pStyle w:val="ListParagraph"/>
        <w:numPr>
          <w:ilvl w:val="0"/>
          <w:numId w:val="2"/>
        </w:numPr>
        <w:spacing w:after="70"/>
      </w:pPr>
      <w:r>
        <w:rPr>
          <w:sz w:val="22"/>
          <w:szCs w:val="22"/>
        </w:rPr>
        <w:t xml:space="preserve">Botany: plant structure and identification, especially flowers with symbolic use in painting</w:t>
      </w:r>
    </w:p>
    <w:p>
      <w:pPr>
        <w:pStyle w:val="ListParagraph"/>
        <w:numPr>
          <w:ilvl w:val="0"/>
          <w:numId w:val="2"/>
        </w:numPr>
        <w:spacing w:after="70"/>
      </w:pPr>
      <w:r>
        <w:rPr>
          <w:sz w:val="22"/>
          <w:szCs w:val="22"/>
        </w:rPr>
        <w:t xml:space="preserve">Comparative anatomy for animal painting</w:t>
      </w:r>
    </w:p>
    <w:p>
      <w:pPr>
        <w:spacing w:after="60" w:before="180"/>
      </w:pPr>
      <w:r>
        <w:rPr>
          <w:b/>
          <w:bCs/>
          <w:color w:val="8a5a2a"/>
          <w:sz w:val="19"/>
          <w:szCs w:val="19"/>
        </w:rPr>
        <w:t xml:space="preserve">SUGGESTED READING &amp; STUDY</w:t>
      </w:r>
    </w:p>
    <w:p>
      <w:pPr>
        <w:pStyle w:val="ListParagraph"/>
        <w:numPr>
          <w:ilvl w:val="0"/>
          <w:numId w:val="2"/>
        </w:numPr>
        <w:spacing w:after="70"/>
      </w:pPr>
      <w:r>
        <w:rPr>
          <w:sz w:val="22"/>
          <w:szCs w:val="22"/>
        </w:rPr>
        <w:t xml:space="preserve">Andreas Vesalius, De Humani Corporis Fabrica (illustrations)</w:t>
      </w:r>
    </w:p>
    <w:p>
      <w:pPr>
        <w:pStyle w:val="ListParagraph"/>
        <w:numPr>
          <w:ilvl w:val="0"/>
          <w:numId w:val="2"/>
        </w:numPr>
        <w:spacing w:after="70"/>
      </w:pPr>
      <w:r>
        <w:rPr>
          <w:sz w:val="22"/>
          <w:szCs w:val="22"/>
        </w:rPr>
        <w:t xml:space="preserve">Leonardo da Vinci's anatomical notebooks (selections)</w:t>
      </w:r>
    </w:p>
    <w:p>
      <w:pPr>
        <w:pStyle w:val="ListParagraph"/>
        <w:numPr>
          <w:ilvl w:val="0"/>
          <w:numId w:val="2"/>
        </w:numPr>
        <w:spacing w:after="70"/>
      </w:pPr>
      <w:r>
        <w:rPr>
          <w:sz w:val="22"/>
          <w:szCs w:val="22"/>
        </w:rPr>
        <w:t xml:space="preserve">Bridgman's Complete Guide to Drawing from Life</w:t>
      </w:r>
    </w:p>
    <w:p>
      <w:pPr>
        <w:pStyle w:val="ListParagraph"/>
        <w:numPr>
          <w:ilvl w:val="0"/>
          <w:numId w:val="2"/>
        </w:numPr>
        <w:spacing w:after="70"/>
      </w:pPr>
      <w:r>
        <w:rPr>
          <w:sz w:val="22"/>
          <w:szCs w:val="22"/>
        </w:rPr>
        <w:t xml:space="preserve">Margaret Livingstone, Vision and Art: The Biology of Seeing</w:t>
      </w:r>
    </w:p>
    <w:p>
      <w:pPr>
        <w:spacing w:after="60" w:before="180"/>
      </w:pPr>
      <w:r>
        <w:rPr>
          <w:b/>
          <w:bCs/>
          <w:color w:val="8a5a2a"/>
          <w:sz w:val="19"/>
          <w:szCs w:val="19"/>
        </w:rPr>
        <w:t xml:space="preserve">PRACTICAL EXERCISE</w:t>
      </w:r>
    </w:p>
    <w:p>
      <w:pPr>
        <w:spacing w:after="160" w:line="276"/>
        <w:jc w:val="both"/>
      </w:pPr>
      <w:r>
        <w:rPr>
          <w:i w:val="false"/>
          <w:iCs w:val="false"/>
          <w:sz w:val="22"/>
          <w:szCs w:val="22"/>
        </w:rPr>
        <w:t xml:space="preserve">Draw the same hand from life six times in a single sitting, from six different angles, without reference to a photograph — until the underlying bone structure, not the surface skin, becomes what you are actually drawing.</w:t>
      </w:r>
    </w:p>
    <w:p>
      <w:pPr>
        <w:pStyle w:val="Heading2"/>
        <w:spacing w:after="140" w:before="320"/>
      </w:pPr>
      <w:r>
        <w:rPr>
          <w:b/>
          <w:bCs/>
        </w:rPr>
        <w:t xml:space="preserve">Minor VII — Theology</w:t>
      </w:r>
    </w:p>
    <w:p>
      <w:pPr>
        <w:spacing w:after="160" w:line="276"/>
        <w:jc w:val="both"/>
      </w:pPr>
      <w:r>
        <w:rPr>
          <w:i w:val="false"/>
          <w:iCs w:val="false"/>
          <w:sz w:val="22"/>
          <w:szCs w:val="22"/>
        </w:rPr>
        <w:t xml:space="preserve">Possibly the most overlooked subject by artists today, and one of the most necessary. Giotto, Fra Angelico, Michelangelo, Raphael, Rembrandt and El Greco cannot be understood without Christian doctrine, and Buddhism, Shinto and Islam shaped visual culture just as decisively wherever they took root.</w:t>
      </w:r>
    </w:p>
    <w:p>
      <w:pPr>
        <w:spacing w:after="60" w:before="180"/>
      </w:pPr>
      <w:r>
        <w:rPr>
          <w:b/>
          <w:bCs/>
          <w:color w:val="8a5a2a"/>
          <w:sz w:val="19"/>
          <w:szCs w:val="19"/>
        </w:rPr>
        <w:t xml:space="preserve">CORE TOPICS</w:t>
      </w:r>
    </w:p>
    <w:p>
      <w:pPr>
        <w:pStyle w:val="ListParagraph"/>
        <w:numPr>
          <w:ilvl w:val="0"/>
          <w:numId w:val="2"/>
        </w:numPr>
        <w:spacing w:after="70"/>
      </w:pPr>
      <w:r>
        <w:rPr>
          <w:sz w:val="22"/>
          <w:szCs w:val="22"/>
        </w:rPr>
        <w:t xml:space="preserve">The Christian narrative cycle: Annunciation, Nativity, Crucifixion, Resurrection, as recurring compositional problems</w:t>
      </w:r>
    </w:p>
    <w:p>
      <w:pPr>
        <w:pStyle w:val="ListParagraph"/>
        <w:numPr>
          <w:ilvl w:val="0"/>
          <w:numId w:val="2"/>
        </w:numPr>
        <w:spacing w:after="70"/>
      </w:pPr>
      <w:r>
        <w:rPr>
          <w:sz w:val="22"/>
          <w:szCs w:val="22"/>
        </w:rPr>
        <w:t xml:space="preserve">Iconography: attributes, symbols, and how to 'read' a saint or scene</w:t>
      </w:r>
    </w:p>
    <w:p>
      <w:pPr>
        <w:pStyle w:val="ListParagraph"/>
        <w:numPr>
          <w:ilvl w:val="0"/>
          <w:numId w:val="2"/>
        </w:numPr>
        <w:spacing w:after="70"/>
      </w:pPr>
      <w:r>
        <w:rPr>
          <w:sz w:val="22"/>
          <w:szCs w:val="22"/>
        </w:rPr>
        <w:t xml:space="preserve">The Reformation's rejection of religious imagery and its visual consequences</w:t>
      </w:r>
    </w:p>
    <w:p>
      <w:pPr>
        <w:pStyle w:val="ListParagraph"/>
        <w:numPr>
          <w:ilvl w:val="0"/>
          <w:numId w:val="2"/>
        </w:numPr>
        <w:spacing w:after="70"/>
      </w:pPr>
      <w:r>
        <w:rPr>
          <w:sz w:val="22"/>
          <w:szCs w:val="22"/>
        </w:rPr>
        <w:t xml:space="preserve">Buddhist and Shinto image traditions and their very different relationship to representation</w:t>
      </w:r>
    </w:p>
    <w:p>
      <w:pPr>
        <w:pStyle w:val="ListParagraph"/>
        <w:numPr>
          <w:ilvl w:val="0"/>
          <w:numId w:val="2"/>
        </w:numPr>
        <w:spacing w:after="70"/>
      </w:pPr>
      <w:r>
        <w:rPr>
          <w:sz w:val="22"/>
          <w:szCs w:val="22"/>
        </w:rPr>
        <w:t xml:space="preserve">Islamic aniconism and the resulting flowering of geometric and calligraphic art</w:t>
      </w:r>
    </w:p>
    <w:p>
      <w:pPr>
        <w:spacing w:after="60" w:before="180"/>
      </w:pPr>
      <w:r>
        <w:rPr>
          <w:b/>
          <w:bCs/>
          <w:color w:val="8a5a2a"/>
          <w:sz w:val="19"/>
          <w:szCs w:val="19"/>
        </w:rPr>
        <w:t xml:space="preserve">SUGGESTED READING &amp; STUDY</w:t>
      </w:r>
    </w:p>
    <w:p>
      <w:pPr>
        <w:pStyle w:val="ListParagraph"/>
        <w:numPr>
          <w:ilvl w:val="0"/>
          <w:numId w:val="2"/>
        </w:numPr>
        <w:spacing w:after="70"/>
      </w:pPr>
      <w:r>
        <w:rPr>
          <w:sz w:val="22"/>
          <w:szCs w:val="22"/>
        </w:rPr>
        <w:t xml:space="preserve">The Bible, especially Genesis, the Gospels, and Revelation</w:t>
      </w:r>
    </w:p>
    <w:p>
      <w:pPr>
        <w:pStyle w:val="ListParagraph"/>
        <w:numPr>
          <w:ilvl w:val="0"/>
          <w:numId w:val="2"/>
        </w:numPr>
        <w:spacing w:after="70"/>
      </w:pPr>
      <w:r>
        <w:rPr>
          <w:sz w:val="22"/>
          <w:szCs w:val="22"/>
        </w:rPr>
        <w:t xml:space="preserve">The Golden Legend (Jacobus de Voragine) for saints' iconography</w:t>
      </w:r>
    </w:p>
    <w:p>
      <w:pPr>
        <w:pStyle w:val="ListParagraph"/>
        <w:numPr>
          <w:ilvl w:val="0"/>
          <w:numId w:val="2"/>
        </w:numPr>
        <w:spacing w:after="70"/>
      </w:pPr>
      <w:r>
        <w:rPr>
          <w:sz w:val="22"/>
          <w:szCs w:val="22"/>
        </w:rPr>
        <w:t xml:space="preserve">Erwin Panofsky, Studies in Iconology</w:t>
      </w:r>
    </w:p>
    <w:p>
      <w:pPr>
        <w:pStyle w:val="ListParagraph"/>
        <w:numPr>
          <w:ilvl w:val="0"/>
          <w:numId w:val="2"/>
        </w:numPr>
        <w:spacing w:after="70"/>
      </w:pPr>
      <w:r>
        <w:rPr>
          <w:sz w:val="22"/>
          <w:szCs w:val="22"/>
        </w:rPr>
        <w:t xml:space="preserve">Titus Burckhardt, Art of Islam: Language and Meaning</w:t>
      </w:r>
    </w:p>
    <w:p>
      <w:pPr>
        <w:spacing w:after="60" w:before="180"/>
      </w:pPr>
      <w:r>
        <w:rPr>
          <w:b/>
          <w:bCs/>
          <w:color w:val="8a5a2a"/>
          <w:sz w:val="19"/>
          <w:szCs w:val="19"/>
        </w:rPr>
        <w:t xml:space="preserve">PRACTICAL EXERCISE</w:t>
      </w:r>
    </w:p>
    <w:p>
      <w:pPr>
        <w:spacing w:after="160" w:line="276"/>
        <w:jc w:val="both"/>
      </w:pPr>
      <w:r>
        <w:rPr>
          <w:i w:val="false"/>
          <w:iCs w:val="false"/>
          <w:sz w:val="22"/>
          <w:szCs w:val="22"/>
        </w:rPr>
        <w:t xml:space="preserve">Choose one unfamiliar religious painting from Part I. Using an iconography reference, identify every symbolic object in the scene before reading any description of the work, then compare your reading against the accepted one.</w:t>
      </w:r>
    </w:p>
    <w:p>
      <w:pPr>
        <w:pStyle w:val="Heading2"/>
        <w:spacing w:after="140" w:before="320"/>
      </w:pPr>
      <w:r>
        <w:rPr>
          <w:b/>
          <w:bCs/>
        </w:rPr>
        <w:t xml:space="preserve">Minor VIII — Astrology</w:t>
      </w:r>
    </w:p>
    <w:p>
      <w:pPr>
        <w:spacing w:after="160" w:line="276"/>
        <w:jc w:val="both"/>
      </w:pPr>
      <w:r>
        <w:rPr>
          <w:i w:val="false"/>
          <w:iCs w:val="false"/>
          <w:sz w:val="22"/>
          <w:szCs w:val="22"/>
        </w:rPr>
        <w:t xml:space="preserve">A stranger inclusion than the others, and for that reason easy to underrate — but astrology and cosmology shaped major works directly, from the astrological frescoes of the Palazzo Schifanoia to the Neoplatonic cosmology behind Botticelli, the alchemical symbolism running through Northern Renaissance painting, and the theosophical colour-systems behind Kandinsky and Hilma af Klint.</w:t>
      </w:r>
    </w:p>
    <w:p>
      <w:pPr>
        <w:spacing w:after="60" w:before="180"/>
      </w:pPr>
      <w:r>
        <w:rPr>
          <w:b/>
          <w:bCs/>
          <w:color w:val="8a5a2a"/>
          <w:sz w:val="19"/>
          <w:szCs w:val="19"/>
        </w:rPr>
        <w:t xml:space="preserve">CORE TOPICS</w:t>
      </w:r>
    </w:p>
    <w:p>
      <w:pPr>
        <w:pStyle w:val="ListParagraph"/>
        <w:numPr>
          <w:ilvl w:val="0"/>
          <w:numId w:val="2"/>
        </w:numPr>
        <w:spacing w:after="70"/>
      </w:pPr>
      <w:r>
        <w:rPr>
          <w:sz w:val="22"/>
          <w:szCs w:val="22"/>
        </w:rPr>
        <w:t xml:space="preserve">The zodiac as a visual system: attributes, symbols, and planetary associations</w:t>
      </w:r>
    </w:p>
    <w:p>
      <w:pPr>
        <w:pStyle w:val="ListParagraph"/>
        <w:numPr>
          <w:ilvl w:val="0"/>
          <w:numId w:val="2"/>
        </w:numPr>
        <w:spacing w:after="70"/>
      </w:pPr>
      <w:r>
        <w:rPr>
          <w:sz w:val="22"/>
          <w:szCs w:val="22"/>
        </w:rPr>
        <w:t xml:space="preserve">Renaissance astrology and Neoplatonism: Ficino's circle and its influence on Botticelli</w:t>
      </w:r>
    </w:p>
    <w:p>
      <w:pPr>
        <w:pStyle w:val="ListParagraph"/>
        <w:numPr>
          <w:ilvl w:val="0"/>
          <w:numId w:val="2"/>
        </w:numPr>
        <w:spacing w:after="70"/>
      </w:pPr>
      <w:r>
        <w:rPr>
          <w:sz w:val="22"/>
          <w:szCs w:val="22"/>
        </w:rPr>
        <w:t xml:space="preserve">Astrological fresco cycles: the Salone dei Mesi at the Palazzo Schifanoia, Ferrara</w:t>
      </w:r>
    </w:p>
    <w:p>
      <w:pPr>
        <w:pStyle w:val="ListParagraph"/>
        <w:numPr>
          <w:ilvl w:val="0"/>
          <w:numId w:val="2"/>
        </w:numPr>
        <w:spacing w:after="70"/>
      </w:pPr>
      <w:r>
        <w:rPr>
          <w:sz w:val="22"/>
          <w:szCs w:val="22"/>
        </w:rPr>
        <w:t xml:space="preserve">Alchemical symbolism in Northern Renaissance still life and portraiture</w:t>
      </w:r>
    </w:p>
    <w:p>
      <w:pPr>
        <w:pStyle w:val="ListParagraph"/>
        <w:numPr>
          <w:ilvl w:val="0"/>
          <w:numId w:val="2"/>
        </w:numPr>
        <w:spacing w:after="70"/>
      </w:pPr>
      <w:r>
        <w:rPr>
          <w:sz w:val="22"/>
          <w:szCs w:val="22"/>
        </w:rPr>
        <w:t xml:space="preserve">Theosophy and cosmological colour theory in early abstraction (Kandinsky, af Klint)</w:t>
      </w:r>
    </w:p>
    <w:p>
      <w:pPr>
        <w:spacing w:after="60" w:before="180"/>
      </w:pPr>
      <w:r>
        <w:rPr>
          <w:b/>
          <w:bCs/>
          <w:color w:val="8a5a2a"/>
          <w:sz w:val="19"/>
          <w:szCs w:val="19"/>
        </w:rPr>
        <w:t xml:space="preserve">SUGGESTED READING &amp; STUDY</w:t>
      </w:r>
    </w:p>
    <w:p>
      <w:pPr>
        <w:pStyle w:val="ListParagraph"/>
        <w:numPr>
          <w:ilvl w:val="0"/>
          <w:numId w:val="2"/>
        </w:numPr>
        <w:spacing w:after="70"/>
      </w:pPr>
      <w:r>
        <w:rPr>
          <w:sz w:val="22"/>
          <w:szCs w:val="22"/>
        </w:rPr>
        <w:t xml:space="preserve">Aby Warburg, essays on the Palazzo Schifanoia (available in translation)</w:t>
      </w:r>
    </w:p>
    <w:p>
      <w:pPr>
        <w:pStyle w:val="ListParagraph"/>
        <w:numPr>
          <w:ilvl w:val="0"/>
          <w:numId w:val="2"/>
        </w:numPr>
        <w:spacing w:after="70"/>
      </w:pPr>
      <w:r>
        <w:rPr>
          <w:sz w:val="22"/>
          <w:szCs w:val="22"/>
        </w:rPr>
        <w:t xml:space="preserve">Edgar Wind, Pagan Mysteries in the Renaissance</w:t>
      </w:r>
    </w:p>
    <w:p>
      <w:pPr>
        <w:pStyle w:val="ListParagraph"/>
        <w:numPr>
          <w:ilvl w:val="0"/>
          <w:numId w:val="2"/>
        </w:numPr>
        <w:spacing w:after="70"/>
      </w:pPr>
      <w:r>
        <w:rPr>
          <w:sz w:val="22"/>
          <w:szCs w:val="22"/>
        </w:rPr>
        <w:t xml:space="preserve">Wassily Kandinsky, Concerning the Spiritual in Art</w:t>
      </w:r>
    </w:p>
    <w:p>
      <w:pPr>
        <w:pStyle w:val="ListParagraph"/>
        <w:numPr>
          <w:ilvl w:val="0"/>
          <w:numId w:val="2"/>
        </w:numPr>
        <w:spacing w:after="70"/>
      </w:pPr>
      <w:r>
        <w:rPr>
          <w:sz w:val="22"/>
          <w:szCs w:val="22"/>
        </w:rPr>
        <w:t xml:space="preserve">Marsilio Ficino, selections from the Three Books on Life</w:t>
      </w:r>
    </w:p>
    <w:p>
      <w:pPr>
        <w:spacing w:after="60" w:before="180"/>
      </w:pPr>
      <w:r>
        <w:rPr>
          <w:b/>
          <w:bCs/>
          <w:color w:val="8a5a2a"/>
          <w:sz w:val="19"/>
          <w:szCs w:val="19"/>
        </w:rPr>
        <w:t xml:space="preserve">PRACTICAL EXERCISE</w:t>
      </w:r>
    </w:p>
    <w:p>
      <w:pPr>
        <w:spacing w:after="160" w:line="276"/>
        <w:jc w:val="both"/>
      </w:pPr>
      <w:r>
        <w:rPr>
          <w:i w:val="false"/>
          <w:iCs w:val="false"/>
          <w:sz w:val="22"/>
          <w:szCs w:val="22"/>
        </w:rPr>
        <w:t xml:space="preserve">Research the astrological attributes of your own birth month as they appear in Renaissance manuscript tradition, then design a small symbolic composition using only period-accurate imagery for it.</w:t>
      </w:r>
    </w:p>
    <w:p>
      <w:pPr>
        <w:pStyle w:val="Heading2"/>
        <w:spacing w:after="140" w:before="320"/>
      </w:pPr>
      <w:r>
        <w:rPr>
          <w:b/>
          <w:bCs/>
        </w:rPr>
        <w:t xml:space="preserve">Minor IX — Language</w:t>
      </w:r>
    </w:p>
    <w:p>
      <w:pPr>
        <w:spacing w:after="160" w:line="276"/>
        <w:jc w:val="both"/>
      </w:pPr>
      <w:r>
        <w:rPr>
          <w:i w:val="false"/>
          <w:iCs w:val="false"/>
          <w:sz w:val="22"/>
          <w:szCs w:val="22"/>
        </w:rPr>
        <w:t xml:space="preserve">Primarily Danish, English and Gaelic, but the deeper aim is etymology — understanding why words mean what they do, since so much art vocabulary (fresco, chiaroscuro, sfumato, ukiyo-e, disegno) only fully makes sense in its original tongue.</w:t>
      </w:r>
    </w:p>
    <w:p>
      <w:pPr>
        <w:spacing w:after="60" w:before="180"/>
      </w:pPr>
      <w:r>
        <w:rPr>
          <w:b/>
          <w:bCs/>
          <w:color w:val="8a5a2a"/>
          <w:sz w:val="19"/>
          <w:szCs w:val="19"/>
        </w:rPr>
        <w:t xml:space="preserve">CORE TOPICS</w:t>
      </w:r>
    </w:p>
    <w:p>
      <w:pPr>
        <w:pStyle w:val="ListParagraph"/>
        <w:numPr>
          <w:ilvl w:val="0"/>
          <w:numId w:val="2"/>
        </w:numPr>
        <w:spacing w:after="70"/>
      </w:pPr>
      <w:r>
        <w:rPr>
          <w:sz w:val="22"/>
          <w:szCs w:val="22"/>
        </w:rPr>
        <w:t xml:space="preserve">Working reading knowledge of Danish, for Nordic art history and primary sources</w:t>
      </w:r>
    </w:p>
    <w:p>
      <w:pPr>
        <w:pStyle w:val="ListParagraph"/>
        <w:numPr>
          <w:ilvl w:val="0"/>
          <w:numId w:val="2"/>
        </w:numPr>
        <w:spacing w:after="70"/>
      </w:pPr>
      <w:r>
        <w:rPr>
          <w:sz w:val="22"/>
          <w:szCs w:val="22"/>
        </w:rPr>
        <w:t xml:space="preserve">English, as the primary working language of most secondary art history literature</w:t>
      </w:r>
    </w:p>
    <w:p>
      <w:pPr>
        <w:pStyle w:val="ListParagraph"/>
        <w:numPr>
          <w:ilvl w:val="0"/>
          <w:numId w:val="2"/>
        </w:numPr>
        <w:spacing w:after="70"/>
      </w:pPr>
      <w:r>
        <w:rPr>
          <w:sz w:val="22"/>
          <w:szCs w:val="22"/>
        </w:rPr>
        <w:t xml:space="preserve">Gaelic, for Scottish place names, poetry, and visual culture</w:t>
      </w:r>
    </w:p>
    <w:p>
      <w:pPr>
        <w:pStyle w:val="ListParagraph"/>
        <w:numPr>
          <w:ilvl w:val="0"/>
          <w:numId w:val="2"/>
        </w:numPr>
        <w:spacing w:after="70"/>
      </w:pPr>
      <w:r>
        <w:rPr>
          <w:sz w:val="22"/>
          <w:szCs w:val="22"/>
        </w:rPr>
        <w:t xml:space="preserve">Etymology of core art-historical vocabulary: fresco, tempera, chiaroscuro, sfumato, disegno, ukiyo-e</w:t>
      </w:r>
    </w:p>
    <w:p>
      <w:pPr>
        <w:pStyle w:val="ListParagraph"/>
        <w:numPr>
          <w:ilvl w:val="0"/>
          <w:numId w:val="2"/>
        </w:numPr>
        <w:spacing w:after="70"/>
      </w:pPr>
      <w:r>
        <w:rPr>
          <w:sz w:val="22"/>
          <w:szCs w:val="22"/>
        </w:rPr>
        <w:t xml:space="preserve">Reading period documents (letters, treatises) in something closer to their original register</w:t>
      </w:r>
    </w:p>
    <w:p>
      <w:pPr>
        <w:spacing w:after="60" w:before="180"/>
      </w:pPr>
      <w:r>
        <w:rPr>
          <w:b/>
          <w:bCs/>
          <w:color w:val="8a5a2a"/>
          <w:sz w:val="19"/>
          <w:szCs w:val="19"/>
        </w:rPr>
        <w:t xml:space="preserve">SUGGESTED READING &amp; STUDY</w:t>
      </w:r>
    </w:p>
    <w:p>
      <w:pPr>
        <w:pStyle w:val="ListParagraph"/>
        <w:numPr>
          <w:ilvl w:val="0"/>
          <w:numId w:val="2"/>
        </w:numPr>
        <w:spacing w:after="70"/>
      </w:pPr>
      <w:r>
        <w:rPr>
          <w:sz w:val="22"/>
          <w:szCs w:val="22"/>
        </w:rPr>
        <w:t xml:space="preserve">A structured Danish course (e.g. Assimil or Teach Yourself Danish)</w:t>
      </w:r>
    </w:p>
    <w:p>
      <w:pPr>
        <w:pStyle w:val="ListParagraph"/>
        <w:numPr>
          <w:ilvl w:val="0"/>
          <w:numId w:val="2"/>
        </w:numPr>
        <w:spacing w:after="70"/>
      </w:pPr>
      <w:r>
        <w:rPr>
          <w:sz w:val="22"/>
          <w:szCs w:val="22"/>
        </w:rPr>
        <w:t xml:space="preserve">An etymological dictionary kept permanently on the desk</w:t>
      </w:r>
    </w:p>
    <w:p>
      <w:pPr>
        <w:pStyle w:val="ListParagraph"/>
        <w:numPr>
          <w:ilvl w:val="0"/>
          <w:numId w:val="2"/>
        </w:numPr>
        <w:spacing w:after="70"/>
      </w:pPr>
      <w:r>
        <w:rPr>
          <w:sz w:val="22"/>
          <w:szCs w:val="22"/>
        </w:rPr>
        <w:t xml:space="preserve">Basic Gaelic place-name guide (useful directly for Minor IV, Geography)</w:t>
      </w:r>
    </w:p>
    <w:p>
      <w:pPr>
        <w:pStyle w:val="ListParagraph"/>
        <w:numPr>
          <w:ilvl w:val="0"/>
          <w:numId w:val="2"/>
        </w:numPr>
        <w:spacing w:after="70"/>
      </w:pPr>
      <w:r>
        <w:rPr>
          <w:sz w:val="22"/>
          <w:szCs w:val="22"/>
        </w:rPr>
        <w:t xml:space="preserve">Giorgio Vasari, Lives of the Artists, read in translation alongside the original Italian terms</w:t>
      </w:r>
    </w:p>
    <w:p>
      <w:pPr>
        <w:spacing w:after="60" w:before="180"/>
      </w:pPr>
      <w:r>
        <w:rPr>
          <w:b/>
          <w:bCs/>
          <w:color w:val="8a5a2a"/>
          <w:sz w:val="19"/>
          <w:szCs w:val="19"/>
        </w:rPr>
        <w:t xml:space="preserve">PRACTICAL EXERCISE</w:t>
      </w:r>
    </w:p>
    <w:p>
      <w:pPr>
        <w:spacing w:after="160" w:line="276"/>
        <w:jc w:val="both"/>
      </w:pPr>
      <w:r>
        <w:rPr>
          <w:i w:val="false"/>
          <w:iCs w:val="false"/>
          <w:sz w:val="22"/>
          <w:szCs w:val="22"/>
        </w:rPr>
        <w:t xml:space="preserve">Build a running glossary of twenty core art-historical terms, tracing each word to its root language and original literal meaning, and keep adding to it throughout the whole course.</w:t>
      </w:r>
    </w:p>
    <w:p>
      <w:pPr>
        <w:pStyle w:val="Heading1"/>
        <w:pageBreakBefore/>
        <w:spacing w:after="240" w:before="200"/>
      </w:pPr>
      <w:r>
        <w:rPr>
          <w:b/>
          <w:bCs/>
        </w:rPr>
        <w:t xml:space="preserve">Part III — The Western Canon, and the East Within It</w:t>
      </w:r>
    </w:p>
    <w:p>
      <w:pPr>
        <w:spacing w:after="200"/>
      </w:pPr>
      <w:r>
        <w:rPr>
          <w:i/>
          <w:iCs/>
          <w:color w:val="555555"/>
          <w:sz w:val="24"/>
          <w:szCs w:val="24"/>
        </w:rPr>
        <w:t xml:space="preserve">The spine of the whole course: the works and books that everything above is designed to help you read properly.</w:t>
      </w:r>
    </w:p>
    <w:p>
      <w:pPr>
        <w:spacing w:after="160" w:line="276"/>
        <w:jc w:val="both"/>
      </w:pPr>
      <w:r>
        <w:rPr>
          <w:i w:val="false"/>
          <w:iCs w:val="false"/>
          <w:sz w:val="22"/>
          <w:szCs w:val="22"/>
        </w:rPr>
        <w:t xml:space="preserve">This is not an exhaustive list — no such list exists — but a working spine. Treat it as the backbone against which everything else in this handbook attaches. Where a work sits directly on an East–West current, that is noted.</w:t>
      </w:r>
    </w:p>
    <w:p>
      <w:pPr>
        <w:pStyle w:val="Heading2"/>
        <w:spacing w:after="140" w:before="320"/>
      </w:pPr>
      <w:r>
        <w:rPr>
          <w:b/>
          <w:bCs/>
        </w:rPr>
        <w:t xml:space="preserve">The Core Texts</w:t>
      </w:r>
    </w:p>
    <w:p>
      <w:pPr>
        <w:pStyle w:val="ListParagraph"/>
        <w:numPr>
          <w:ilvl w:val="0"/>
          <w:numId w:val="2"/>
        </w:numPr>
        <w:spacing w:after="70"/>
      </w:pPr>
      <w:r>
        <w:rPr>
          <w:sz w:val="22"/>
          <w:szCs w:val="22"/>
        </w:rPr>
        <w:t xml:space="preserve">Giorgio Vasari, Lives of the Artists (1550) — the founding text of art history itself</w:t>
      </w:r>
    </w:p>
    <w:p>
      <w:pPr>
        <w:pStyle w:val="ListParagraph"/>
        <w:numPr>
          <w:ilvl w:val="0"/>
          <w:numId w:val="2"/>
        </w:numPr>
        <w:spacing w:after="70"/>
      </w:pPr>
      <w:r>
        <w:rPr>
          <w:sz w:val="22"/>
          <w:szCs w:val="22"/>
        </w:rPr>
        <w:t xml:space="preserve">E.H. Gombrich, The Story of Art — the best single-volume overview, start to finish</w:t>
      </w:r>
    </w:p>
    <w:p>
      <w:pPr>
        <w:pStyle w:val="ListParagraph"/>
        <w:numPr>
          <w:ilvl w:val="0"/>
          <w:numId w:val="2"/>
        </w:numPr>
        <w:spacing w:after="70"/>
      </w:pPr>
      <w:r>
        <w:rPr>
          <w:sz w:val="22"/>
          <w:szCs w:val="22"/>
        </w:rPr>
        <w:t xml:space="preserve">Kenneth Clark, Civilisation — sweeping, dated in places, still an excellent narrative spine</w:t>
      </w:r>
    </w:p>
    <w:p>
      <w:pPr>
        <w:pStyle w:val="ListParagraph"/>
        <w:numPr>
          <w:ilvl w:val="0"/>
          <w:numId w:val="2"/>
        </w:numPr>
        <w:spacing w:after="70"/>
      </w:pPr>
      <w:r>
        <w:rPr>
          <w:sz w:val="22"/>
          <w:szCs w:val="22"/>
        </w:rPr>
        <w:t xml:space="preserve">Erwin Panofsky, Studies in Iconology — how to actually read a painting's symbolism</w:t>
      </w:r>
    </w:p>
    <w:p>
      <w:pPr>
        <w:pStyle w:val="ListParagraph"/>
        <w:numPr>
          <w:ilvl w:val="0"/>
          <w:numId w:val="2"/>
        </w:numPr>
        <w:spacing w:after="70"/>
      </w:pPr>
      <w:r>
        <w:rPr>
          <w:sz w:val="22"/>
          <w:szCs w:val="22"/>
        </w:rPr>
        <w:t xml:space="preserve">John Berger, Ways of Seeing — a short, radical corrective to read after, not instead of, Gombrich</w:t>
      </w:r>
    </w:p>
    <w:p>
      <w:pPr>
        <w:pStyle w:val="ListParagraph"/>
        <w:numPr>
          <w:ilvl w:val="0"/>
          <w:numId w:val="2"/>
        </w:numPr>
        <w:spacing w:after="70"/>
      </w:pPr>
      <w:r>
        <w:rPr>
          <w:sz w:val="22"/>
          <w:szCs w:val="22"/>
        </w:rPr>
        <w:t xml:space="preserve">Linda Nochlin, 'Why Have There Been No Great Women Artists?' — essential critical counterweight</w:t>
      </w:r>
    </w:p>
    <w:p>
      <w:pPr>
        <w:pStyle w:val="ListParagraph"/>
        <w:numPr>
          <w:ilvl w:val="0"/>
          <w:numId w:val="2"/>
        </w:numPr>
        <w:spacing w:after="70"/>
      </w:pPr>
      <w:r>
        <w:rPr>
          <w:sz w:val="22"/>
          <w:szCs w:val="22"/>
        </w:rPr>
        <w:t xml:space="preserve">Michael Baxandall, Painting and Experience in Fifteenth-Century Italy — art history through economics and habit of eye</w:t>
      </w:r>
    </w:p>
    <w:p>
      <w:pPr>
        <w:pStyle w:val="Heading2"/>
        <w:spacing w:after="140" w:before="320"/>
      </w:pPr>
      <w:r>
        <w:rPr>
          <w:b/>
          <w:bCs/>
        </w:rPr>
        <w:t xml:space="preserve">The East Within the Canon — A Parallel Reading List</w:t>
      </w:r>
    </w:p>
    <w:p>
      <w:pPr>
        <w:spacing w:after="160" w:line="276"/>
        <w:jc w:val="both"/>
      </w:pPr>
      <w:r>
        <w:rPr>
          <w:i w:val="false"/>
          <w:iCs w:val="false"/>
          <w:sz w:val="22"/>
          <w:szCs w:val="22"/>
        </w:rPr>
        <w:t xml:space="preserve">Read these alongside the corresponding period in Part I, not as a separate track:</w:t>
      </w:r>
    </w:p>
    <w:p>
      <w:pPr>
        <w:pStyle w:val="ListParagraph"/>
        <w:numPr>
          <w:ilvl w:val="0"/>
          <w:numId w:val="2"/>
        </w:numPr>
        <w:spacing w:after="70"/>
      </w:pPr>
      <w:r>
        <w:rPr>
          <w:sz w:val="22"/>
          <w:szCs w:val="22"/>
        </w:rPr>
        <w:t xml:space="preserve">With the Medieval and Byzantine chapter — Titus Burckhardt, Art of Islam, for the geometric tradition entering Sicily and Spain</w:t>
      </w:r>
    </w:p>
    <w:p>
      <w:pPr>
        <w:pStyle w:val="ListParagraph"/>
        <w:numPr>
          <w:ilvl w:val="0"/>
          <w:numId w:val="2"/>
        </w:numPr>
        <w:spacing w:after="70"/>
      </w:pPr>
      <w:r>
        <w:rPr>
          <w:sz w:val="22"/>
          <w:szCs w:val="22"/>
        </w:rPr>
        <w:t xml:space="preserve">With Rococo and Neoclassicism — a survey of Qing dynasty export porcelain and its effect on Boucher and Fragonard's decorative schemes</w:t>
      </w:r>
    </w:p>
    <w:p>
      <w:pPr>
        <w:pStyle w:val="ListParagraph"/>
        <w:numPr>
          <w:ilvl w:val="0"/>
          <w:numId w:val="2"/>
        </w:numPr>
        <w:spacing w:after="70"/>
      </w:pPr>
      <w:r>
        <w:rPr>
          <w:sz w:val="22"/>
          <w:szCs w:val="22"/>
        </w:rPr>
        <w:t xml:space="preserve">With Impressionism and Post-Impressionism — Hokusai's Thirty-Six Views of Mount Fuji and Hiroshige's One Hundred Famous Views of Edo, read directly against Monet, Van Gogh and Degas</w:t>
      </w:r>
    </w:p>
    <w:p>
      <w:pPr>
        <w:pStyle w:val="ListParagraph"/>
        <w:numPr>
          <w:ilvl w:val="0"/>
          <w:numId w:val="2"/>
        </w:numPr>
        <w:spacing w:after="70"/>
      </w:pPr>
      <w:r>
        <w:rPr>
          <w:sz w:val="22"/>
          <w:szCs w:val="22"/>
        </w:rPr>
        <w:t xml:space="preserve">With Abstract Expressionism — Zen ink painting and calligraphy, read against Franz Kline and Mark Tobey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8a5a2a" w:val="clear"/>
            <w:vAlign w:val="center"/>
          </w:tcPr>
          <w:p>
            <w:r>
              <w:rPr>
                <w:b/>
                <w:bCs/>
                <w:color w:val="FFFFFF"/>
                <w:sz w:val="20"/>
                <w:szCs w:val="20"/>
              </w:rPr>
              <w:t xml:space="preserve">Period</w:t>
            </w:r>
          </w:p>
        </w:tc>
        <w:tc>
          <w:tcPr>
            <w:tcW w:type="dxa" w:w="6700"/>
            <w:shd w:fill="8a5a2a" w:val="clear"/>
            <w:vAlign w:val="center"/>
          </w:tcPr>
          <w:p>
            <w:r>
              <w:rPr>
                <w:b/>
                <w:bCs/>
                <w:color w:val="FFFFFF"/>
                <w:sz w:val="20"/>
                <w:szCs w:val="20"/>
              </w:rPr>
              <w:t xml:space="preserve">Anchor Works to See in Person, in Order of Priority</w:t>
            </w:r>
          </w:p>
        </w:tc>
      </w:tr>
      <w:tr>
        <w:tc>
          <w:tcPr>
            <w:tcW w:type="dxa" w:w="2600"/>
            <w:vAlign w:val="center"/>
          </w:tcPr>
          <w:p>
            <w:r>
              <w:rPr>
                <w:b/>
                <w:bCs/>
                <w:sz w:val="19"/>
                <w:szCs w:val="19"/>
              </w:rPr>
              <w:t xml:space="preserve">Ancient</w:t>
            </w:r>
          </w:p>
        </w:tc>
        <w:tc>
          <w:tcPr>
            <w:tcW w:type="dxa" w:w="6700"/>
            <w:vAlign w:val="center"/>
          </w:tcPr>
          <w:p>
            <w:r>
              <w:rPr>
                <w:sz w:val="19"/>
                <w:szCs w:val="19"/>
              </w:rPr>
              <w:t xml:space="preserve">Egyptian Book of the Dead papyri (British Museum); Parthenon Marbles; Pompeii frescoes, Naples</w:t>
            </w:r>
          </w:p>
        </w:tc>
      </w:tr>
      <w:tr>
        <w:tc>
          <w:tcPr>
            <w:tcW w:type="dxa" w:w="2600"/>
            <w:vAlign w:val="center"/>
          </w:tcPr>
          <w:p>
            <w:r>
              <w:rPr>
                <w:b/>
                <w:bCs/>
                <w:sz w:val="19"/>
                <w:szCs w:val="19"/>
              </w:rPr>
              <w:t xml:space="preserve">Medieval / Byzantine</w:t>
            </w:r>
          </w:p>
        </w:tc>
        <w:tc>
          <w:tcPr>
            <w:tcW w:type="dxa" w:w="6700"/>
            <w:vAlign w:val="center"/>
          </w:tcPr>
          <w:p>
            <w:r>
              <w:rPr>
                <w:sz w:val="19"/>
                <w:szCs w:val="19"/>
              </w:rPr>
              <w:t xml:space="preserve">Hagia Sophia mosaics, Istanbul; Book of Kells, Dublin; Chartres Cathedral glass and sculpture</w:t>
            </w:r>
          </w:p>
        </w:tc>
      </w:tr>
      <w:tr>
        <w:tc>
          <w:tcPr>
            <w:tcW w:type="dxa" w:w="2600"/>
            <w:vAlign w:val="center"/>
          </w:tcPr>
          <w:p>
            <w:r>
              <w:rPr>
                <w:b/>
                <w:bCs/>
                <w:sz w:val="19"/>
                <w:szCs w:val="19"/>
              </w:rPr>
              <w:t xml:space="preserve">Early Renaissance</w:t>
            </w:r>
          </w:p>
        </w:tc>
        <w:tc>
          <w:tcPr>
            <w:tcW w:type="dxa" w:w="6700"/>
            <w:vAlign w:val="center"/>
          </w:tcPr>
          <w:p>
            <w:r>
              <w:rPr>
                <w:sz w:val="19"/>
                <w:szCs w:val="19"/>
              </w:rPr>
              <w:t xml:space="preserve">Giotto, Arena Chapel, Padua; Masaccio, Brancacci Chapel, Florence</w:t>
            </w:r>
          </w:p>
        </w:tc>
      </w:tr>
      <w:tr>
        <w:tc>
          <w:tcPr>
            <w:tcW w:type="dxa" w:w="2600"/>
            <w:vAlign w:val="center"/>
          </w:tcPr>
          <w:p>
            <w:r>
              <w:rPr>
                <w:b/>
                <w:bCs/>
                <w:sz w:val="19"/>
                <w:szCs w:val="19"/>
              </w:rPr>
              <w:t xml:space="preserve">High Renaissance</w:t>
            </w:r>
          </w:p>
        </w:tc>
        <w:tc>
          <w:tcPr>
            <w:tcW w:type="dxa" w:w="6700"/>
            <w:vAlign w:val="center"/>
          </w:tcPr>
          <w:p>
            <w:r>
              <w:rPr>
                <w:sz w:val="19"/>
                <w:szCs w:val="19"/>
              </w:rPr>
              <w:t xml:space="preserve">Michelangelo, Sistine Chapel; Titian, major Venetian altarpieces</w:t>
            </w:r>
          </w:p>
        </w:tc>
      </w:tr>
      <w:tr>
        <w:tc>
          <w:tcPr>
            <w:tcW w:type="dxa" w:w="2600"/>
            <w:vAlign w:val="center"/>
          </w:tcPr>
          <w:p>
            <w:r>
              <w:rPr>
                <w:b/>
                <w:bCs/>
                <w:sz w:val="19"/>
                <w:szCs w:val="19"/>
              </w:rPr>
              <w:t xml:space="preserve">Northern Renaissance</w:t>
            </w:r>
          </w:p>
        </w:tc>
        <w:tc>
          <w:tcPr>
            <w:tcW w:type="dxa" w:w="6700"/>
            <w:vAlign w:val="center"/>
          </w:tcPr>
          <w:p>
            <w:r>
              <w:rPr>
                <w:sz w:val="19"/>
                <w:szCs w:val="19"/>
              </w:rPr>
              <w:t xml:space="preserve">Van Eyck, Ghent Altarpiece; Bruegel, Kunsthistorisches Museum, Vienna</w:t>
            </w:r>
          </w:p>
        </w:tc>
      </w:tr>
      <w:tr>
        <w:tc>
          <w:tcPr>
            <w:tcW w:type="dxa" w:w="2600"/>
            <w:vAlign w:val="center"/>
          </w:tcPr>
          <w:p>
            <w:r>
              <w:rPr>
                <w:b/>
                <w:bCs/>
                <w:sz w:val="19"/>
                <w:szCs w:val="19"/>
              </w:rPr>
              <w:t xml:space="preserve">Baroque</w:t>
            </w:r>
          </w:p>
        </w:tc>
        <w:tc>
          <w:tcPr>
            <w:tcW w:type="dxa" w:w="6700"/>
            <w:vAlign w:val="center"/>
          </w:tcPr>
          <w:p>
            <w:r>
              <w:rPr>
                <w:sz w:val="19"/>
                <w:szCs w:val="19"/>
              </w:rPr>
              <w:t xml:space="preserve">Caravaggio, Rome church cycles; Vermeer, Rijksmuseum and Mauritshuis</w:t>
            </w:r>
          </w:p>
        </w:tc>
      </w:tr>
      <w:tr>
        <w:tc>
          <w:tcPr>
            <w:tcW w:type="dxa" w:w="2600"/>
            <w:vAlign w:val="center"/>
          </w:tcPr>
          <w:p>
            <w:r>
              <w:rPr>
                <w:b/>
                <w:bCs/>
                <w:sz w:val="19"/>
                <w:szCs w:val="19"/>
              </w:rPr>
              <w:t xml:space="preserve">Romanticism</w:t>
            </w:r>
          </w:p>
        </w:tc>
        <w:tc>
          <w:tcPr>
            <w:tcW w:type="dxa" w:w="6700"/>
            <w:vAlign w:val="center"/>
          </w:tcPr>
          <w:p>
            <w:r>
              <w:rPr>
                <w:sz w:val="19"/>
                <w:szCs w:val="19"/>
              </w:rPr>
              <w:t xml:space="preserve">Turner, Tate Britain; Friedrich, Alte Nationalgalerie, Berlin</w:t>
            </w:r>
          </w:p>
        </w:tc>
      </w:tr>
      <w:tr>
        <w:tc>
          <w:tcPr>
            <w:tcW w:type="dxa" w:w="2600"/>
            <w:vAlign w:val="center"/>
          </w:tcPr>
          <w:p>
            <w:r>
              <w:rPr>
                <w:b/>
                <w:bCs/>
                <w:sz w:val="19"/>
                <w:szCs w:val="19"/>
              </w:rPr>
              <w:t xml:space="preserve">Impressionism</w:t>
            </w:r>
          </w:p>
        </w:tc>
        <w:tc>
          <w:tcPr>
            <w:tcW w:type="dxa" w:w="6700"/>
            <w:vAlign w:val="center"/>
          </w:tcPr>
          <w:p>
            <w:r>
              <w:rPr>
                <w:sz w:val="19"/>
                <w:szCs w:val="19"/>
              </w:rPr>
              <w:t xml:space="preserve">Musée d'Orsay, Paris; Monet's Water Lilies, Musée de l'Orangerie</w:t>
            </w:r>
          </w:p>
        </w:tc>
      </w:tr>
      <w:tr>
        <w:tc>
          <w:tcPr>
            <w:tcW w:type="dxa" w:w="2600"/>
            <w:vAlign w:val="center"/>
          </w:tcPr>
          <w:p>
            <w:r>
              <w:rPr>
                <w:b/>
                <w:bCs/>
                <w:sz w:val="19"/>
                <w:szCs w:val="19"/>
              </w:rPr>
              <w:t xml:space="preserve">Modernism</w:t>
            </w:r>
          </w:p>
        </w:tc>
        <w:tc>
          <w:tcPr>
            <w:tcW w:type="dxa" w:w="6700"/>
            <w:vAlign w:val="center"/>
          </w:tcPr>
          <w:p>
            <w:r>
              <w:rPr>
                <w:sz w:val="19"/>
                <w:szCs w:val="19"/>
              </w:rPr>
              <w:t xml:space="preserve">Picasso, Guernica, Reina Sofía, Madrid; MoMA, New York, twentieth-century holdings</w:t>
            </w:r>
          </w:p>
        </w:tc>
      </w:tr>
      <w:tr>
        <w:tc>
          <w:tcPr>
            <w:tcW w:type="dxa" w:w="2600"/>
            <w:vAlign w:val="center"/>
          </w:tcPr>
          <w:p>
            <w:r>
              <w:rPr>
                <w:b/>
                <w:bCs/>
                <w:sz w:val="19"/>
                <w:szCs w:val="19"/>
              </w:rPr>
              <w:t xml:space="preserve">Japonisme</w:t>
            </w:r>
          </w:p>
        </w:tc>
        <w:tc>
          <w:tcPr>
            <w:tcW w:type="dxa" w:w="6700"/>
            <w:vAlign w:val="center"/>
          </w:tcPr>
          <w:p>
            <w:r>
              <w:rPr>
                <w:sz w:val="19"/>
                <w:szCs w:val="19"/>
              </w:rPr>
              <w:t xml:space="preserve">Hokusai and Hiroshige print collections, British Museum or Museum of Fine Arts, Boston</w:t>
            </w:r>
          </w:p>
        </w:tc>
      </w:tr>
    </w:tbl>
    <w:p>
      <w:pPr>
        <w:spacing w:before="200"/>
      </w:pPr>
    </w:p>
    <w:p>
      <w:pPr>
        <w:pStyle w:val="Heading1"/>
        <w:pageBreakBefore/>
        <w:spacing w:after="240" w:before="200"/>
      </w:pPr>
      <w:r>
        <w:rPr>
          <w:b/>
          <w:bCs/>
        </w:rPr>
        <w:t xml:space="preserve">Part IV — Structure and Rhythm</w:t>
      </w:r>
    </w:p>
    <w:p>
      <w:pPr>
        <w:spacing w:after="200"/>
      </w:pPr>
      <w:r>
        <w:rPr>
          <w:i/>
          <w:iCs/>
          <w:color w:val="555555"/>
          <w:sz w:val="24"/>
          <w:szCs w:val="24"/>
        </w:rPr>
        <w:t xml:space="preserve">A course this wide fails without a rhythm. This is a suggested one, not a mandatory one.</w:t>
      </w:r>
    </w:p>
    <w:p>
      <w:pPr>
        <w:pStyle w:val="Heading2"/>
        <w:spacing w:after="140" w:before="320"/>
      </w:pPr>
      <w:r>
        <w:rPr>
          <w:b/>
          <w:bCs/>
        </w:rPr>
        <w:t xml:space="preserve">A Weekly Rhythm</w:t>
      </w:r>
    </w:p>
    <w:p>
      <w:pPr>
        <w:pStyle w:val="ListParagraph"/>
        <w:numPr>
          <w:ilvl w:val="0"/>
          <w:numId w:val="2"/>
        </w:numPr>
        <w:spacing w:after="70"/>
      </w:pPr>
      <w:r>
        <w:rPr>
          <w:sz w:val="22"/>
          <w:szCs w:val="22"/>
        </w:rPr>
        <w:t xml:space="preserve">3–4 sessions on the Major (History of Art): reading plus active looking — reproductions are acceptable, originals are better</w:t>
      </w:r>
    </w:p>
    <w:p>
      <w:pPr>
        <w:pStyle w:val="ListParagraph"/>
        <w:numPr>
          <w:ilvl w:val="0"/>
          <w:numId w:val="2"/>
        </w:numPr>
        <w:spacing w:after="70"/>
      </w:pPr>
      <w:r>
        <w:rPr>
          <w:sz w:val="22"/>
          <w:szCs w:val="22"/>
        </w:rPr>
        <w:t xml:space="preserve">1–2 sessions on the current supporting Minor, chosen to match whatever period of the Major you are in</w:t>
      </w:r>
    </w:p>
    <w:p>
      <w:pPr>
        <w:pStyle w:val="ListParagraph"/>
        <w:numPr>
          <w:ilvl w:val="0"/>
          <w:numId w:val="2"/>
        </w:numPr>
        <w:spacing w:after="70"/>
      </w:pPr>
      <w:r>
        <w:rPr>
          <w:sz w:val="22"/>
          <w:szCs w:val="22"/>
        </w:rPr>
        <w:t xml:space="preserve">1 session of practical painting or drawing, applying that week's material directly</w:t>
      </w:r>
    </w:p>
    <w:p>
      <w:pPr>
        <w:pStyle w:val="ListParagraph"/>
        <w:numPr>
          <w:ilvl w:val="0"/>
          <w:numId w:val="2"/>
        </w:numPr>
        <w:spacing w:after="70"/>
      </w:pPr>
      <w:r>
        <w:rPr>
          <w:sz w:val="22"/>
          <w:szCs w:val="22"/>
        </w:rPr>
        <w:t xml:space="preserve">1 session of writing: a short response, patronage note, or iconography reading from the exercises above</w:t>
      </w:r>
    </w:p>
    <w:p>
      <w:pPr>
        <w:pStyle w:val="Heading2"/>
        <w:spacing w:after="140" w:before="320"/>
      </w:pPr>
      <w:r>
        <w:rPr>
          <w:b/>
          <w:bCs/>
        </w:rPr>
        <w:t xml:space="preserve">A Four-Year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00"/>
      </w:tblGrid>
      <w:tr>
        <w:trPr>
          <w:tblHeader/>
        </w:trPr>
        <w:tc>
          <w:tcPr>
            <w:tcW w:type="dxa" w:w="1600"/>
            <w:shd w:fill="5c3a1e" w:val="clear"/>
          </w:tcPr>
          <w:p>
            <w:r>
              <w:rPr>
                <w:b/>
                <w:bCs/>
                <w:color w:val="FFFFFF"/>
                <w:sz w:val="20"/>
                <w:szCs w:val="20"/>
              </w:rPr>
              <w:t xml:space="preserve">Year</w:t>
            </w:r>
          </w:p>
        </w:tc>
        <w:tc>
          <w:tcPr>
            <w:tcW w:type="dxa" w:w="3800"/>
            <w:shd w:fill="5c3a1e" w:val="clear"/>
          </w:tcPr>
          <w:p>
            <w:r>
              <w:rPr>
                <w:b/>
                <w:bCs/>
                <w:color w:val="FFFFFF"/>
                <w:sz w:val="20"/>
                <w:szCs w:val="20"/>
              </w:rPr>
              <w:t xml:space="preserve">Major Focus</w:t>
            </w:r>
          </w:p>
        </w:tc>
        <w:tc>
          <w:tcPr>
            <w:tcW w:type="dxa" w:w="3900"/>
            <w:shd w:fill="5c3a1e" w:val="clear"/>
          </w:tcPr>
          <w:p>
            <w:r>
              <w:rPr>
                <w:b/>
                <w:bCs/>
                <w:color w:val="FFFFFF"/>
                <w:sz w:val="20"/>
                <w:szCs w:val="20"/>
              </w:rPr>
              <w:t xml:space="preserve">Paired Minors</w:t>
            </w:r>
          </w:p>
        </w:tc>
      </w:tr>
      <w:tr>
        <w:tc>
          <w:tcPr>
            <w:tcW w:type="dxa" w:w="1600"/>
          </w:tcPr>
          <w:p>
            <w:r>
              <w:rPr>
                <w:b/>
                <w:bCs/>
                <w:sz w:val="19"/>
                <w:szCs w:val="19"/>
              </w:rPr>
              <w:t xml:space="preserve">1</w:t>
            </w:r>
          </w:p>
        </w:tc>
        <w:tc>
          <w:tcPr>
            <w:tcW w:type="dxa" w:w="3800"/>
          </w:tcPr>
          <w:p>
            <w:r>
              <w:rPr>
                <w:sz w:val="19"/>
                <w:szCs w:val="19"/>
              </w:rPr>
              <w:t xml:space="preserve">Ancient world through the Northern Renaissance</w:t>
            </w:r>
          </w:p>
        </w:tc>
        <w:tc>
          <w:tcPr>
            <w:tcW w:type="dxa" w:w="3900"/>
          </w:tcPr>
          <w:p>
            <w:r>
              <w:rPr>
                <w:sz w:val="19"/>
                <w:szCs w:val="19"/>
              </w:rPr>
              <w:t xml:space="preserve">Theology, Astrology, Biology &amp; Anatomy</w:t>
            </w:r>
          </w:p>
        </w:tc>
      </w:tr>
      <w:tr>
        <w:tc>
          <w:tcPr>
            <w:tcW w:type="dxa" w:w="1600"/>
          </w:tcPr>
          <w:p>
            <w:r>
              <w:rPr>
                <w:b/>
                <w:bCs/>
                <w:sz w:val="19"/>
                <w:szCs w:val="19"/>
              </w:rPr>
              <w:t xml:space="preserve">2</w:t>
            </w:r>
          </w:p>
        </w:tc>
        <w:tc>
          <w:tcPr>
            <w:tcW w:type="dxa" w:w="3800"/>
          </w:tcPr>
          <w:p>
            <w:r>
              <w:rPr>
                <w:sz w:val="19"/>
                <w:szCs w:val="19"/>
              </w:rPr>
              <w:t xml:space="preserve">Baroque through Romanticism</w:t>
            </w:r>
          </w:p>
        </w:tc>
        <w:tc>
          <w:tcPr>
            <w:tcW w:type="dxa" w:w="3900"/>
          </w:tcPr>
          <w:p>
            <w:r>
              <w:rPr>
                <w:sz w:val="19"/>
                <w:szCs w:val="19"/>
              </w:rPr>
              <w:t xml:space="preserve">History, Geography, Ecology</w:t>
            </w:r>
          </w:p>
        </w:tc>
      </w:tr>
      <w:tr>
        <w:tc>
          <w:tcPr>
            <w:tcW w:type="dxa" w:w="1600"/>
          </w:tcPr>
          <w:p>
            <w:r>
              <w:rPr>
                <w:b/>
                <w:bCs/>
                <w:sz w:val="19"/>
                <w:szCs w:val="19"/>
              </w:rPr>
              <w:t xml:space="preserve">3</w:t>
            </w:r>
          </w:p>
        </w:tc>
        <w:tc>
          <w:tcPr>
            <w:tcW w:type="dxa" w:w="3800"/>
          </w:tcPr>
          <w:p>
            <w:r>
              <w:rPr>
                <w:sz w:val="19"/>
                <w:szCs w:val="19"/>
              </w:rPr>
              <w:t xml:space="preserve">Realism through Post-Impressionism, including East Meets West</w:t>
            </w:r>
          </w:p>
        </w:tc>
        <w:tc>
          <w:tcPr>
            <w:tcW w:type="dxa" w:w="3900"/>
          </w:tcPr>
          <w:p>
            <w:r>
              <w:rPr>
                <w:sz w:val="19"/>
                <w:szCs w:val="19"/>
              </w:rPr>
              <w:t xml:space="preserve">Language, Ecology, Literature</w:t>
            </w:r>
          </w:p>
        </w:tc>
      </w:tr>
      <w:tr>
        <w:tc>
          <w:tcPr>
            <w:tcW w:type="dxa" w:w="1600"/>
          </w:tcPr>
          <w:p>
            <w:r>
              <w:rPr>
                <w:b/>
                <w:bCs/>
                <w:sz w:val="19"/>
                <w:szCs w:val="19"/>
              </w:rPr>
              <w:t xml:space="preserve">4</w:t>
            </w:r>
          </w:p>
        </w:tc>
        <w:tc>
          <w:tcPr>
            <w:tcW w:type="dxa" w:w="3800"/>
          </w:tcPr>
          <w:p>
            <w:r>
              <w:rPr>
                <w:sz w:val="19"/>
                <w:szCs w:val="19"/>
              </w:rPr>
              <w:t xml:space="preserve">Modernism through Contemporary art</w:t>
            </w:r>
          </w:p>
        </w:tc>
        <w:tc>
          <w:tcPr>
            <w:tcW w:type="dxa" w:w="3900"/>
          </w:tcPr>
          <w:p>
            <w:r>
              <w:rPr>
                <w:sz w:val="19"/>
                <w:szCs w:val="19"/>
              </w:rPr>
              <w:t xml:space="preserve">Philosophy, Literature</w:t>
            </w:r>
          </w:p>
        </w:tc>
      </w:tr>
    </w:tbl>
    <w:p>
      <w:pPr>
        <w:spacing w:before="200"/>
      </w:pPr>
    </w:p>
    <w:p>
      <w:pPr>
        <w:spacing w:after="160" w:line="276"/>
        <w:jc w:val="both"/>
      </w:pPr>
      <w:r>
        <w:rPr>
          <w:i w:val="false"/>
          <w:iCs w:val="false"/>
          <w:sz w:val="22"/>
          <w:szCs w:val="22"/>
        </w:rPr>
        <w:t xml:space="preserve">This plan is deliberately loose. The point of building your own School of Painting is that it bends to your actual curiosity — if a minor pulls you in for a month, follow it, and return to the spine of the Major when ready. The only real failure mode is treating this as a checklist rather than an education.</w:t>
      </w:r>
    </w:p>
    <w:p>
      <w:pPr>
        <w:pStyle w:val="Heading1"/>
        <w:pageBreakBefore/>
        <w:spacing w:after="240" w:before="200"/>
      </w:pPr>
      <w:r>
        <w:rPr>
          <w:b/>
          <w:bCs/>
        </w:rPr>
        <w:t xml:space="preserve">Appendix — Glossary of Core Terms</w:t>
      </w:r>
    </w:p>
    <w:p>
      <w:pPr>
        <w:pStyle w:val="ListParagraph"/>
        <w:numPr>
          <w:ilvl w:val="0"/>
          <w:numId w:val="2"/>
        </w:numPr>
        <w:spacing w:after="70"/>
      </w:pPr>
      <w:r>
        <w:rPr>
          <w:sz w:val="22"/>
          <w:szCs w:val="22"/>
        </w:rPr>
        <w:t xml:space="preserve">Chiaroscuro (Italian, 'light-dark') — strong contrast between light and shadow to model form</w:t>
      </w:r>
    </w:p>
    <w:p>
      <w:pPr>
        <w:pStyle w:val="ListParagraph"/>
        <w:numPr>
          <w:ilvl w:val="0"/>
          <w:numId w:val="2"/>
        </w:numPr>
        <w:spacing w:after="70"/>
      </w:pPr>
      <w:r>
        <w:rPr>
          <w:sz w:val="22"/>
          <w:szCs w:val="22"/>
        </w:rPr>
        <w:t xml:space="preserve">Sfumato (Italian, 'smoked') — soft, gradual transitions between tones, associated with Leonardo</w:t>
      </w:r>
    </w:p>
    <w:p>
      <w:pPr>
        <w:pStyle w:val="ListParagraph"/>
        <w:numPr>
          <w:ilvl w:val="0"/>
          <w:numId w:val="2"/>
        </w:numPr>
        <w:spacing w:after="70"/>
      </w:pPr>
      <w:r>
        <w:rPr>
          <w:sz w:val="22"/>
          <w:szCs w:val="22"/>
        </w:rPr>
        <w:t xml:space="preserve">Disegno / Colorito — the Renaissance debate between drawing-led (Florence/Rome) and colour-led (Venice) painting</w:t>
      </w:r>
    </w:p>
    <w:p>
      <w:pPr>
        <w:pStyle w:val="ListParagraph"/>
        <w:numPr>
          <w:ilvl w:val="0"/>
          <w:numId w:val="2"/>
        </w:numPr>
        <w:spacing w:after="70"/>
      </w:pPr>
      <w:r>
        <w:rPr>
          <w:sz w:val="22"/>
          <w:szCs w:val="22"/>
        </w:rPr>
        <w:t xml:space="preserve">Tenebrism — an extreme form of chiaroscuro with dramatic, near-total darkness, associated with Caravaggio</w:t>
      </w:r>
    </w:p>
    <w:p>
      <w:pPr>
        <w:pStyle w:val="ListParagraph"/>
        <w:numPr>
          <w:ilvl w:val="0"/>
          <w:numId w:val="2"/>
        </w:numPr>
        <w:spacing w:after="70"/>
      </w:pPr>
      <w:r>
        <w:rPr>
          <w:sz w:val="22"/>
          <w:szCs w:val="22"/>
        </w:rPr>
        <w:t xml:space="preserve">Ukiyo-e (Japanese, 'pictures of the floating world') — Japanese woodblock prints, central to Japonisme</w:t>
      </w:r>
    </w:p>
    <w:p>
      <w:pPr>
        <w:pStyle w:val="ListParagraph"/>
        <w:numPr>
          <w:ilvl w:val="0"/>
          <w:numId w:val="2"/>
        </w:numPr>
        <w:spacing w:after="70"/>
      </w:pPr>
      <w:r>
        <w:rPr>
          <w:sz w:val="22"/>
          <w:szCs w:val="22"/>
        </w:rPr>
        <w:t xml:space="preserve">Iconography — the study of symbolic content and subject matter in a work of art</w:t>
      </w:r>
    </w:p>
    <w:p>
      <w:pPr>
        <w:pStyle w:val="ListParagraph"/>
        <w:numPr>
          <w:ilvl w:val="0"/>
          <w:numId w:val="2"/>
        </w:numPr>
        <w:spacing w:after="70"/>
      </w:pPr>
      <w:r>
        <w:rPr>
          <w:sz w:val="22"/>
          <w:szCs w:val="22"/>
        </w:rPr>
        <w:t xml:space="preserve">Genre painting — scenes of everyday life, elevated to serious subject matter in the Dutch Golden Age</w:t>
      </w:r>
    </w:p>
    <w:p>
      <w:pPr>
        <w:pStyle w:val="ListParagraph"/>
        <w:numPr>
          <w:ilvl w:val="0"/>
          <w:numId w:val="2"/>
        </w:numPr>
        <w:spacing w:after="70"/>
      </w:pPr>
      <w:r>
        <w:rPr>
          <w:sz w:val="22"/>
          <w:szCs w:val="22"/>
        </w:rPr>
        <w:t xml:space="preserve">Sublime — an aesthetic category combining beauty with awe, terror, or vastness</w:t>
      </w:r>
    </w:p>
    <w:p>
      <w:pPr>
        <w:pStyle w:val="ListParagraph"/>
        <w:numPr>
          <w:ilvl w:val="0"/>
          <w:numId w:val="2"/>
        </w:numPr>
        <w:spacing w:after="70"/>
      </w:pPr>
      <w:r>
        <w:rPr>
          <w:sz w:val="22"/>
          <w:szCs w:val="22"/>
        </w:rPr>
        <w:t xml:space="preserve">Contrapposto — a standing figure posed with weight on one leg, producing a naturalistic S-curve</w:t>
      </w:r>
    </w:p>
    <w:p>
      <w:pPr>
        <w:pStyle w:val="Heading1"/>
        <w:pageBreakBefore/>
        <w:spacing w:after="240" w:before="200"/>
      </w:pPr>
      <w:r>
        <w:rPr>
          <w:b/>
          <w:bCs/>
        </w:rPr>
        <w:t xml:space="preserve">Appendix — Museums and Collections by Region</w:t>
      </w:r>
    </w:p>
    <w:p>
      <w:pPr>
        <w:spacing w:after="160" w:line="276"/>
        <w:jc w:val="both"/>
      </w:pPr>
      <w:r>
        <w:rPr>
          <w:i w:val="false"/>
          <w:iCs w:val="false"/>
          <w:sz w:val="22"/>
          <w:szCs w:val="22"/>
        </w:rPr>
        <w:t xml:space="preserve">Original works reward study in a way reproductions cannot — scale, surface, and the behaviour of paint under real light are lost in photographs. This is a starting list, organised by region, to prioritise when travel allows.</w:t>
      </w:r>
    </w:p>
    <w:p>
      <w:pPr>
        <w:pStyle w:val="ListParagraph"/>
        <w:numPr>
          <w:ilvl w:val="0"/>
          <w:numId w:val="2"/>
        </w:numPr>
        <w:spacing w:after="70"/>
      </w:pPr>
      <w:r>
        <w:rPr>
          <w:sz w:val="22"/>
          <w:szCs w:val="22"/>
        </w:rPr>
        <w:t xml:space="preserve">Italy: the Uffizi and Accademia (Florence); the Vatican Museums and Galleria Borghese (Rome); the Gallerie dell'Accademia (Venice)</w:t>
      </w:r>
    </w:p>
    <w:p>
      <w:pPr>
        <w:pStyle w:val="ListParagraph"/>
        <w:numPr>
          <w:ilvl w:val="0"/>
          <w:numId w:val="2"/>
        </w:numPr>
        <w:spacing w:after="70"/>
      </w:pPr>
      <w:r>
        <w:rPr>
          <w:sz w:val="22"/>
          <w:szCs w:val="22"/>
        </w:rPr>
        <w:t xml:space="preserve">France: the Louvre, Musée d'Orsay, and Musée de l'Orangerie (Paris)</w:t>
      </w:r>
    </w:p>
    <w:p>
      <w:pPr>
        <w:pStyle w:val="ListParagraph"/>
        <w:numPr>
          <w:ilvl w:val="0"/>
          <w:numId w:val="2"/>
        </w:numPr>
        <w:spacing w:after="70"/>
      </w:pPr>
      <w:r>
        <w:rPr>
          <w:sz w:val="22"/>
          <w:szCs w:val="22"/>
        </w:rPr>
        <w:t xml:space="preserve">Britain: the National Gallery and Tate Britain (London); the Kelvingrove and National Galleries of Scotland (Glasgow and Edinburgh)</w:t>
      </w:r>
    </w:p>
    <w:p>
      <w:pPr>
        <w:pStyle w:val="ListParagraph"/>
        <w:numPr>
          <w:ilvl w:val="0"/>
          <w:numId w:val="2"/>
        </w:numPr>
        <w:spacing w:after="70"/>
      </w:pPr>
      <w:r>
        <w:rPr>
          <w:sz w:val="22"/>
          <w:szCs w:val="22"/>
        </w:rPr>
        <w:t xml:space="preserve">The Netherlands: the Rijksmuseum and Van Gogh Museum (Amsterdam); the Mauritshuis (The Hague)</w:t>
      </w:r>
    </w:p>
    <w:p>
      <w:pPr>
        <w:pStyle w:val="ListParagraph"/>
        <w:numPr>
          <w:ilvl w:val="0"/>
          <w:numId w:val="2"/>
        </w:numPr>
        <w:spacing w:after="70"/>
      </w:pPr>
      <w:r>
        <w:rPr>
          <w:sz w:val="22"/>
          <w:szCs w:val="22"/>
        </w:rPr>
        <w:t xml:space="preserve">Spain: the Prado and Reina Sofía (Madrid)</w:t>
      </w:r>
    </w:p>
    <w:p>
      <w:pPr>
        <w:pStyle w:val="ListParagraph"/>
        <w:numPr>
          <w:ilvl w:val="0"/>
          <w:numId w:val="2"/>
        </w:numPr>
        <w:spacing w:after="70"/>
      </w:pPr>
      <w:r>
        <w:rPr>
          <w:sz w:val="22"/>
          <w:szCs w:val="22"/>
        </w:rPr>
        <w:t xml:space="preserve">Germany and Austria: the Alte Pinakothek (Munich); the Kunsthistorisches Museum (Vienna)</w:t>
      </w:r>
    </w:p>
    <w:p>
      <w:pPr>
        <w:pStyle w:val="ListParagraph"/>
        <w:numPr>
          <w:ilvl w:val="0"/>
          <w:numId w:val="2"/>
        </w:numPr>
        <w:spacing w:after="70"/>
      </w:pPr>
      <w:r>
        <w:rPr>
          <w:sz w:val="22"/>
          <w:szCs w:val="22"/>
        </w:rPr>
        <w:t xml:space="preserve">United States: the Metropolitan Museum of Art and MoMA (New York); the Art Institute of Chicago</w:t>
      </w:r>
    </w:p>
    <w:p>
      <w:pPr>
        <w:pStyle w:val="ListParagraph"/>
        <w:numPr>
          <w:ilvl w:val="0"/>
          <w:numId w:val="2"/>
        </w:numPr>
        <w:spacing w:after="70"/>
      </w:pPr>
      <w:r>
        <w:rPr>
          <w:sz w:val="22"/>
          <w:szCs w:val="22"/>
        </w:rPr>
        <w:t xml:space="preserve">Japan: the Tokyo National Museum and the Sumida Hokusai Museum, for the Japonisme chapter specifically</w:t>
      </w:r>
    </w:p>
    <w:p>
      <w:pPr>
        <w:pStyle w:val="Heading1"/>
        <w:pageBreakBefore/>
        <w:spacing w:after="240" w:before="200"/>
      </w:pPr>
      <w:r>
        <w:rPr>
          <w:b/>
          <w:bCs/>
        </w:rPr>
        <w:t xml:space="preserve">Appendix — A Consolidated Checklist</w:t>
      </w:r>
    </w:p>
    <w:p>
      <w:pPr>
        <w:spacing w:after="160" w:line="276"/>
        <w:jc w:val="both"/>
      </w:pPr>
      <w:r>
        <w:rPr>
          <w:i w:val="false"/>
          <w:iCs w:val="false"/>
          <w:sz w:val="22"/>
          <w:szCs w:val="22"/>
        </w:rPr>
        <w:t xml:space="preserve">A single running checklist drawn from every exercise in Part II, useful as a self-assessment before moving from one year of the four-year plan to the next.</w:t>
      </w:r>
    </w:p>
    <w:p>
      <w:pPr>
        <w:pStyle w:val="ListParagraph"/>
        <w:numPr>
          <w:ilvl w:val="0"/>
          <w:numId w:val="2"/>
        </w:numPr>
        <w:spacing w:after="70"/>
      </w:pPr>
      <w:r>
        <w:rPr>
          <w:sz w:val="22"/>
          <w:szCs w:val="22"/>
        </w:rPr>
        <w:t xml:space="preserve">Can you name the historical situation and patron behind any five paintings in Part I without looking them up?</w:t>
      </w:r>
    </w:p>
    <w:p>
      <w:pPr>
        <w:pStyle w:val="ListParagraph"/>
        <w:numPr>
          <w:ilvl w:val="0"/>
          <w:numId w:val="2"/>
        </w:numPr>
        <w:spacing w:after="70"/>
      </w:pPr>
      <w:r>
        <w:rPr>
          <w:sz w:val="22"/>
          <w:szCs w:val="22"/>
        </w:rPr>
        <w:t xml:space="preserve">Have you completed at least one iconography reading of an unfamiliar religious painting?</w:t>
      </w:r>
    </w:p>
    <w:p>
      <w:pPr>
        <w:pStyle w:val="ListParagraph"/>
        <w:numPr>
          <w:ilvl w:val="0"/>
          <w:numId w:val="2"/>
        </w:numPr>
        <w:spacing w:after="70"/>
      </w:pPr>
      <w:r>
        <w:rPr>
          <w:sz w:val="22"/>
          <w:szCs w:val="22"/>
        </w:rPr>
        <w:t xml:space="preserve">Have you drawn the same hand, or another body part, from life at least six times in one sitting?</w:t>
      </w:r>
    </w:p>
    <w:p>
      <w:pPr>
        <w:pStyle w:val="ListParagraph"/>
        <w:numPr>
          <w:ilvl w:val="0"/>
          <w:numId w:val="2"/>
        </w:numPr>
        <w:spacing w:after="70"/>
      </w:pPr>
      <w:r>
        <w:rPr>
          <w:sz w:val="22"/>
          <w:szCs w:val="22"/>
        </w:rPr>
        <w:t xml:space="preserve">Have you produced one 'patronage note' connecting a painting to the political and economic forces that produced it?</w:t>
      </w:r>
    </w:p>
    <w:p>
      <w:pPr>
        <w:pStyle w:val="ListParagraph"/>
        <w:numPr>
          <w:ilvl w:val="0"/>
          <w:numId w:val="2"/>
        </w:numPr>
        <w:spacing w:after="70"/>
      </w:pPr>
      <w:r>
        <w:rPr>
          <w:sz w:val="22"/>
          <w:szCs w:val="22"/>
        </w:rPr>
        <w:t xml:space="preserve">Have you spent at least one hour outdoors identifying trees, clouds, and geology before sketching?</w:t>
      </w:r>
    </w:p>
    <w:p>
      <w:pPr>
        <w:pStyle w:val="ListParagraph"/>
        <w:numPr>
          <w:ilvl w:val="0"/>
          <w:numId w:val="2"/>
        </w:numPr>
        <w:spacing w:after="70"/>
      </w:pPr>
      <w:r>
        <w:rPr>
          <w:sz w:val="22"/>
          <w:szCs w:val="22"/>
        </w:rPr>
        <w:t xml:space="preserve">Have you kept and added to a running etymological glossary of art-historical terms?</w:t>
      </w:r>
    </w:p>
    <w:p>
      <w:pPr>
        <w:pStyle w:val="ListParagraph"/>
        <w:numPr>
          <w:ilvl w:val="0"/>
          <w:numId w:val="2"/>
        </w:numPr>
        <w:spacing w:after="70"/>
      </w:pPr>
      <w:r>
        <w:rPr>
          <w:sz w:val="22"/>
          <w:szCs w:val="22"/>
        </w:rPr>
        <w:t xml:space="preserve">Have you compared a Western painting directly against an Asian work it was influenced by, or that influenced it?</w:t>
      </w:r>
    </w:p>
    <w:p>
      <w:pPr>
        <w:pStyle w:val="ListParagraph"/>
        <w:numPr>
          <w:ilvl w:val="0"/>
          <w:numId w:val="2"/>
        </w:numPr>
        <w:spacing w:after="70"/>
      </w:pPr>
      <w:r>
        <w:rPr>
          <w:sz w:val="22"/>
          <w:szCs w:val="22"/>
        </w:rPr>
        <w:t xml:space="preserve">Have you read at least one full primary text from the Literature minor's list, rather than a summary of it?</w:t>
      </w:r>
    </w:p>
    <w:p>
      <w:pPr>
        <w:pStyle w:val="Heading1"/>
        <w:pageBreakBefore/>
        <w:spacing w:after="240" w:before="200"/>
      </w:pPr>
      <w:r>
        <w:rPr>
          <w:b/>
          <w:bCs/>
        </w:rPr>
        <w:t xml:space="preserve">Appendix — A Note on This Handbook</w:t>
      </w:r>
    </w:p>
    <w:p>
      <w:pPr>
        <w:spacing w:after="160" w:line="276"/>
        <w:jc w:val="both"/>
      </w:pPr>
      <w:r>
        <w:rPr>
          <w:i w:val="false"/>
          <w:iCs w:val="false"/>
          <w:sz w:val="22"/>
          <w:szCs w:val="22"/>
        </w:rPr>
        <w:t xml:space="preserve">This handbook is a beginning, not a finished map. Its purpose is to give a self-directed education in painting the same seriousness of structure that a university degree would — a Major that anchors everything, Minors chosen because they answer real questions, and a canon read honestly, including the currents running into it from outside the West. Treat every reading list here as a floor, not a ceiling, and follow whatever thread in it pulls hardest.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8a5a2a" w:sz="8" w:space="6"/>
      </w:pBdr>
      <w:spacing w:after="240" w:before="200"/>
    </w:pPr>
    <w:rPr>
      <w:rFonts w:ascii="Garamond" w:cs="Garamond" w:eastAsia="Garamond" w:hAnsi="Garamond"/>
      <w:b/>
      <w:bCs/>
      <w:color w:val="5c3a1e"/>
      <w:sz w:val="34"/>
      <w:szCs w:val="34"/>
    </w:rPr>
  </w:style>
  <w:style w:type="paragraph" w:styleId="Heading2">
    <w:name w:val="Heading 2"/>
    <w:basedOn w:val="Normal"/>
    <w:next w:val="Normal"/>
    <w:pPr>
      <w:spacing w:after="140" w:before="320"/>
    </w:pPr>
    <w:rPr>
      <w:rFonts w:ascii="Garamond" w:cs="Garamond" w:eastAsia="Garamond" w:hAnsi="Garamond"/>
      <w:b/>
      <w:bCs/>
      <w:color w:val="8a5a2a"/>
      <w:sz w:val="27"/>
      <w:szCs w:val="27"/>
    </w:rPr>
  </w:style>
  <w:style w:type="paragraph" w:styleId="Heading3">
    <w:name w:val="Heading 3"/>
    <w:basedOn w:val="Normal"/>
    <w:next w:val="Normal"/>
    <w:pPr>
      <w:spacing w:after="100" w:before="220"/>
    </w:pPr>
    <w:rPr>
      <w:rFonts w:ascii="Garamond" w:cs="Garamond" w:eastAsia="Garamond" w:hAnsi="Garamond"/>
      <w:b/>
      <w:bCs/>
      <w:i/>
      <w:i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2026-08-06T11:34:26.001Z</dcterms:created>
  <dcterms:modified xsi:type="dcterms:W3CDTF">2026-08-06T11:34:26.003Z</dcterms:modified>
</cp:coreProperties>
</file>

<file path=docProps/custom.xml><?xml version="1.0" encoding="utf-8"?>
<Properties xmlns="http://schemas.openxmlformats.org/officeDocument/2006/custom-properties" xmlns:vt="http://schemas.openxmlformats.org/officeDocument/2006/docPropsVTypes"/>
</file>