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6"/>
          <w:szCs w:val="56"/>
        </w:rPr>
        <w:t xml:space="preserve">CVG-AEGIS</w:t>
      </w:r>
    </w:p>
    <w:p>
      <w:pPr>
        <w:spacing w:after="100"/>
        <w:jc w:val="center"/>
      </w:pPr>
      <w:r>
        <w:rPr>
          <w:rFonts w:ascii="Arial" w:cs="Arial" w:eastAsia="Arial" w:hAnsi="Arial"/>
          <w:b/>
          <w:bCs/>
          <w:color w:val="1A1A1A"/>
          <w:sz w:val="40"/>
          <w:szCs w:val="40"/>
        </w:rPr>
        <w:t xml:space="preserve">Browser Security Platform</w:t>
      </w:r>
    </w:p>
    <w:p>
      <w:pPr>
        <w:spacing w:after="400"/>
        <w:jc w:val="center"/>
      </w:pPr>
      <w:r>
        <w:rPr>
          <w:rFonts w:ascii="Arial" w:cs="Arial" w:eastAsia="Arial" w:hAnsi="Arial"/>
          <w:color w:val="666666"/>
          <w:sz w:val="28"/>
          <w:szCs w:val="28"/>
        </w:rPr>
        <w:t xml:space="preserve">Architecture Specification v1.0</w:t>
      </w:r>
    </w:p>
    <w:p>
      <w:pPr>
        <w:spacing w:after="100"/>
        <w:jc w:val="center"/>
      </w:pPr>
      <w:r>
        <w:rPr>
          <w:rFonts w:ascii="Arial" w:cs="Arial" w:eastAsia="Arial" w:hAnsi="Arial"/>
          <w:color w:val="333333"/>
          <w:sz w:val="24"/>
          <w:szCs w:val="24"/>
        </w:rPr>
        <w:t xml:space="preserve">Cavaridge, LLC</w:t>
      </w:r>
    </w:p>
    <w:p>
      <w:pPr>
        <w:spacing w:after="100"/>
        <w:jc w:val="center"/>
      </w:pPr>
      <w:r>
        <w:rPr>
          <w:rFonts w:ascii="Arial" w:cs="Arial" w:eastAsia="Arial" w:hAnsi="Arial"/>
          <w:color w:val="666666"/>
          <w:sz w:val="22"/>
          <w:szCs w:val="22"/>
        </w:rPr>
        <w:t xml:space="preserve">March 16, 2026</w:t>
      </w:r>
    </w:p>
    <w:p>
      <w:pPr>
        <w:spacing w:after="100"/>
        <w:jc w:val="center"/>
      </w:pPr>
      <w:r>
        <w:rPr>
          <w:rFonts w:ascii="Arial" w:cs="Arial" w:eastAsia="Arial" w:hAnsi="Arial"/>
          <w:i/>
          <w:iCs/>
          <w:color w:val="666666"/>
          <w:sz w:val="20"/>
          <w:szCs w:val="20"/>
        </w:rPr>
        <w:t xml:space="preserve">Classification: INTERNAL — Cavaridge Confidential</w:t>
      </w:r>
    </w:p>
    <w:p>
      <w:r>
        <w:br w:type="page"/>
      </w:r>
    </w:p>
    <w:p>
      <w:pPr>
        <w:pStyle w:val="Heading1"/>
        <w:spacing w:after="200" w:before="360"/>
      </w:pPr>
      <w:r>
        <w:rPr>
          <w:rFonts w:ascii="Arial" w:cs="Arial" w:eastAsia="Arial" w:hAnsi="Arial"/>
          <w:b/>
          <w:bCs/>
          <w:color w:val="2E5090"/>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Document ID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CVG-AEGIS-BROWSER-SECURITY-v1.0</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App Code</w:t>
            </w:r>
          </w:p>
        </w:tc>
        <w:tc>
          <w:tcPr>
            <w:tcW w:type="dxa" w:w="6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CVG-AEGIS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2026-03-16</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Benjamin Posner, Principal &amp; vCIO</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6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Cavaridge, LLC (Sole IP Owner)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Classification</w:t>
            </w:r>
          </w:p>
        </w:tc>
        <w:tc>
          <w:tcPr>
            <w:tcW w:type="dxa" w:w="63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Internal — Cavaridge Confidential</w:t>
            </w:r>
          </w:p>
        </w:tc>
      </w:tr>
    </w:tbl>
    <w:p>
      <w:pPr>
        <w:spacing w:after="200"/>
      </w:pPr>
    </w:p>
    <w:p>
      <w:pPr>
        <w:pStyle w:val="Heading2"/>
        <w:spacing w:after="160" w:before="280"/>
      </w:pPr>
      <w:r>
        <w:rPr>
          <w:rFonts w:ascii="Arial" w:cs="Arial" w:eastAsia="Arial" w:hAnsi="Arial"/>
          <w:b/>
          <w:bCs/>
          <w:color w:val="1A1A1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rPr>
          <w:tblHeader/>
        </w:trPr>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2026-03-16</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 Posner</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Initial architecture specification</w:t>
            </w:r>
          </w:p>
        </w:tc>
      </w:tr>
    </w:tbl>
    <w:p>
      <w:r>
        <w:br w:type="page"/>
      </w:r>
    </w:p>
    <w:p>
      <w:pPr>
        <w:pStyle w:val="Heading1"/>
        <w:spacing w:after="200" w:before="360"/>
      </w:pPr>
      <w:r>
        <w:rPr>
          <w:rFonts w:ascii="Arial" w:cs="Arial" w:eastAsia="Arial" w:hAnsi="Arial"/>
          <w:b/>
          <w:bCs/>
          <w:color w:val="2E509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E5090"/>
          <w:sz w:val="32"/>
          <w:szCs w:val="32"/>
        </w:rPr>
        <w:t xml:space="preserve">1. Executive Summary</w:t>
      </w:r>
    </w:p>
    <w:p>
      <w:pPr>
        <w:spacing w:after="160"/>
      </w:pPr>
      <w:r>
        <w:rPr>
          <w:rFonts w:ascii="Arial" w:cs="Arial" w:eastAsia="Arial" w:hAnsi="Arial"/>
          <w:color w:val="333333"/>
          <w:sz w:val="22"/>
          <w:szCs w:val="22"/>
        </w:rPr>
        <w:t xml:space="preserve">CVG-AEGIS expands from its original scope as a Security Posture and Risk Intelligence platform to include a full Managed Browser Security Platform, directly competing with Atakama, Island, Talon (Palo Alto), and similar browser security solutions targeting the MSP channel.</w:t>
      </w:r>
    </w:p>
    <w:p>
      <w:pPr>
        <w:spacing w:after="160"/>
      </w:pPr>
      <w:r>
        <w:rPr>
          <w:rFonts w:ascii="Arial" w:cs="Arial" w:eastAsia="Arial" w:hAnsi="Arial"/>
          <w:color w:val="333333"/>
          <w:sz w:val="22"/>
          <w:szCs w:val="22"/>
        </w:rPr>
        <w:t xml:space="preserve">The platform comprises three integrated delivery components: a Chromium Manifest V3 browser extension for real-time endpoint protection, a DNS filtering layer powered by Cloudflare Gateway (Zero Trust), and a multi-tenant MSP management dashboard built on the existing Cavaridge 4-tier tenant model.</w:t>
      </w:r>
    </w:p>
    <w:p>
      <w:pPr>
        <w:spacing w:after="160"/>
      </w:pPr>
      <w:r>
        <w:rPr>
          <w:rFonts w:ascii="Arial" w:cs="Arial" w:eastAsia="Arial" w:hAnsi="Arial"/>
          <w:color w:val="333333"/>
          <w:sz w:val="22"/>
          <w:szCs w:val="22"/>
        </w:rPr>
        <w:t xml:space="preserve">Key capabilities include real-time phishing and malware detection, SaaS shadow IT discovery and app categorization, credential breach monitoring, data leakage prevention (DLP) controls, system-wide DNS filtering, browser configuration compliance enforcement, productivity and security insight reporting, and the Cavaridge Adjusted Score integrating all security signals into a unified posture metric.</w:t>
      </w:r>
    </w:p>
    <w:p>
      <w:pPr>
        <w:spacing w:after="160"/>
      </w:pPr>
      <w:r>
        <w:rPr>
          <w:rFonts w:ascii="Arial" w:cs="Arial" w:eastAsia="Arial" w:hAnsi="Arial"/>
          <w:color w:val="333333"/>
          <w:sz w:val="22"/>
          <w:szCs w:val="22"/>
        </w:rPr>
        <w:t xml:space="preserve">This architecture is designed to be built, deployed, and sold entirely through the MSP channel, with Dedicated IT (DIT) as the initial deployment tenant and go-to-market proof point.</w:t>
      </w:r>
    </w:p>
    <w:p>
      <w:r>
        <w:br w:type="page"/>
      </w:r>
    </w:p>
    <w:p>
      <w:pPr>
        <w:pStyle w:val="Heading1"/>
        <w:spacing w:after="200" w:before="360"/>
      </w:pPr>
      <w:r>
        <w:rPr>
          <w:rFonts w:ascii="Arial" w:cs="Arial" w:eastAsia="Arial" w:hAnsi="Arial"/>
          <w:b/>
          <w:bCs/>
          <w:color w:val="2E5090"/>
          <w:sz w:val="32"/>
          <w:szCs w:val="32"/>
        </w:rPr>
        <w:t xml:space="preserve">2. Product Positioning</w:t>
      </w:r>
    </w:p>
    <w:p>
      <w:pPr>
        <w:pStyle w:val="Heading2"/>
        <w:spacing w:after="160" w:before="280"/>
      </w:pPr>
      <w:r>
        <w:rPr>
          <w:rFonts w:ascii="Arial" w:cs="Arial" w:eastAsia="Arial" w:hAnsi="Arial"/>
          <w:b/>
          <w:bCs/>
          <w:color w:val="1A1A1A"/>
          <w:sz w:val="26"/>
          <w:szCs w:val="26"/>
        </w:rPr>
        <w:t xml:space="preserve">2.1 Market Context</w:t>
      </w:r>
    </w:p>
    <w:p>
      <w:pPr>
        <w:spacing w:after="160"/>
      </w:pPr>
      <w:r>
        <w:rPr>
          <w:rFonts w:ascii="Arial" w:cs="Arial" w:eastAsia="Arial" w:hAnsi="Arial"/>
          <w:color w:val="333333"/>
          <w:sz w:val="22"/>
          <w:szCs w:val="22"/>
        </w:rPr>
        <w:t xml:space="preserve">The browser has become the primary work surface for most knowledge workers. SaaS adoption continues to accelerate, with the majority of business applications now accessed entirely through the browser. This creates a critical security blind spot: traditional endpoint protection (EDR/XDR) monitors the operating system and file system but has limited visibility into what happens inside the browser session.</w:t>
      </w:r>
    </w:p>
    <w:p>
      <w:pPr>
        <w:spacing w:after="160"/>
      </w:pPr>
      <w:r>
        <w:rPr>
          <w:rFonts w:ascii="Arial" w:cs="Arial" w:eastAsia="Arial" w:hAnsi="Arial"/>
          <w:color w:val="333333"/>
          <w:sz w:val="22"/>
          <w:szCs w:val="22"/>
        </w:rPr>
        <w:t xml:space="preserve">For MSPs managing hundreds or thousands of client endpoints, browser security represents both a significant risk and a revenue opportunity. Existing solutions in this space are either enterprise-focused (Island, Talon/Palo Alto) with pricing and complexity that exclude SMB clients, or point solutions that address only one dimension (DNS filtering or credential monitoring, not both).</w:t>
      </w:r>
    </w:p>
    <w:p>
      <w:pPr>
        <w:pStyle w:val="Heading2"/>
        <w:spacing w:after="160" w:before="280"/>
      </w:pPr>
      <w:r>
        <w:rPr>
          <w:rFonts w:ascii="Arial" w:cs="Arial" w:eastAsia="Arial" w:hAnsi="Arial"/>
          <w:b/>
          <w:bCs/>
          <w:color w:val="1A1A1A"/>
          <w:sz w:val="26"/>
          <w:szCs w:val="26"/>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3960"/>
      </w:tblGrid>
      <w:tr>
        <w:trPr>
          <w:tblHeader/>
        </w:trP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MSP Focus</w:t>
            </w:r>
          </w:p>
        </w:tc>
        <w:tc>
          <w:tcPr>
            <w:tcW w:type="dxa" w:w="3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Atakama</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Browser extension + DNS + MSP dashboard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Limited AI/intelligence layer; no security scoring</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Island</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Enterprise secure browser (Chromium fork)</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Enterprise-only pricing; replaces user browser</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Talon (Palo Alto)</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Enterprise secure browser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Enterprise-only; now bundled in Palo Alto suite</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DNSFilter</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DNS filtering SaaS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DNS only; no browser-level DLP or credential analysis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Keeper / 1Password</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Credential management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Credentials only; no browsing protection or DLP</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ThreatLocker</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Application whitelisting</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Application-level, not browser content-level</w:t>
            </w:r>
          </w:p>
        </w:tc>
      </w:tr>
    </w:tbl>
    <w:p>
      <w:pPr>
        <w:pStyle w:val="Heading2"/>
        <w:spacing w:after="160" w:before="280"/>
      </w:pPr>
      <w:r>
        <w:rPr>
          <w:rFonts w:ascii="Arial" w:cs="Arial" w:eastAsia="Arial" w:hAnsi="Arial"/>
          <w:b/>
          <w:bCs/>
          <w:color w:val="1A1A1A"/>
          <w:sz w:val="26"/>
          <w:szCs w:val="26"/>
        </w:rPr>
        <w:t xml:space="preserve">2.3 AEGIS Differentiation</w:t>
      </w:r>
    </w:p>
    <w:p>
      <w:pPr>
        <w:spacing w:after="160"/>
      </w:pPr>
      <w:r>
        <w:rPr>
          <w:rFonts w:ascii="Arial" w:cs="Arial" w:eastAsia="Arial" w:hAnsi="Arial"/>
          <w:color w:val="333333"/>
          <w:sz w:val="22"/>
          <w:szCs w:val="22"/>
        </w:rPr>
        <w:t xml:space="preserve">AEGIS differentiates on three axes:</w:t>
      </w:r>
    </w:p>
    <w:p>
      <w:pPr>
        <w:pStyle w:val="ListParagraph"/>
        <w:numPr>
          <w:ilvl w:val="0"/>
          <w:numId w:val="2"/>
        </w:numPr>
        <w:spacing w:after="80"/>
      </w:pPr>
      <w:r>
        <w:rPr>
          <w:rFonts w:ascii="Arial" w:cs="Arial" w:eastAsia="Arial" w:hAnsi="Arial"/>
          <w:b/>
          <w:bCs/>
          <w:color w:val="333333"/>
          <w:sz w:val="22"/>
          <w:szCs w:val="22"/>
        </w:rPr>
        <w:t xml:space="preserve">Unified Security Scoring: </w:t>
      </w:r>
      <w:r>
        <w:rPr>
          <w:rFonts w:ascii="Arial" w:cs="Arial" w:eastAsia="Arial" w:hAnsi="Arial"/>
          <w:color w:val="333333"/>
          <w:sz w:val="22"/>
          <w:szCs w:val="22"/>
        </w:rPr>
        <w:t xml:space="preserve">The Cavaridge Adjusted Score integrates browser security signals with Microsoft Secure Score, Google Workspace Security Health, and compensating third-party controls (SentinelOne, Duo, Proofpoint) into a single actionable metric. No competitor offers this.</w:t>
      </w:r>
    </w:p>
    <w:p>
      <w:pPr>
        <w:pStyle w:val="ListParagraph"/>
        <w:numPr>
          <w:ilvl w:val="0"/>
          <w:numId w:val="2"/>
        </w:numPr>
        <w:spacing w:after="80"/>
      </w:pPr>
      <w:r>
        <w:rPr>
          <w:rFonts w:ascii="Arial" w:cs="Arial" w:eastAsia="Arial" w:hAnsi="Arial"/>
          <w:b/>
          <w:bCs/>
          <w:color w:val="333333"/>
          <w:sz w:val="22"/>
          <w:szCs w:val="22"/>
        </w:rPr>
        <w:t xml:space="preserve">Agent-First Intelligence: </w:t>
      </w:r>
      <w:r>
        <w:rPr>
          <w:rFonts w:ascii="Arial" w:cs="Arial" w:eastAsia="Arial" w:hAnsi="Arial"/>
          <w:color w:val="333333"/>
          <w:sz w:val="22"/>
          <w:szCs w:val="22"/>
        </w:rPr>
        <w:t xml:space="preserve">Powered by the Ducky Intelligence platform and Spaniel LLM gateway, AEGIS can provide AI-driven threat analysis, automated policy recommendations, and natural-language security reporting. Browser security events feed directly into the Cavaridge agent layer.</w:t>
      </w:r>
    </w:p>
    <w:p>
      <w:pPr>
        <w:pStyle w:val="ListParagraph"/>
        <w:numPr>
          <w:ilvl w:val="0"/>
          <w:numId w:val="2"/>
        </w:numPr>
        <w:spacing w:after="80"/>
      </w:pPr>
      <w:r>
        <w:rPr>
          <w:rFonts w:ascii="Arial" w:cs="Arial" w:eastAsia="Arial" w:hAnsi="Arial"/>
          <w:b/>
          <w:bCs/>
          <w:color w:val="333333"/>
          <w:sz w:val="22"/>
          <w:szCs w:val="22"/>
        </w:rPr>
        <w:t xml:space="preserve">Native Multi-Tenant MSP Architecture: </w:t>
      </w:r>
      <w:r>
        <w:rPr>
          <w:rFonts w:ascii="Arial" w:cs="Arial" w:eastAsia="Arial" w:hAnsi="Arial"/>
          <w:color w:val="333333"/>
          <w:sz w:val="22"/>
          <w:szCs w:val="22"/>
        </w:rPr>
        <w:t xml:space="preserve">Built from day one on the Cavaridge 4-tier tenant model (Platform → MSP → Client → Site), with Supabase RLS enforcing isolation at every layer. Not a bolted-on MSP mode.</w:t>
      </w:r>
    </w:p>
    <w:p>
      <w:r>
        <w:br w:type="page"/>
      </w:r>
    </w:p>
    <w:p>
      <w:pPr>
        <w:pStyle w:val="Heading1"/>
        <w:spacing w:after="200" w:before="360"/>
      </w:pPr>
      <w:r>
        <w:rPr>
          <w:rFonts w:ascii="Arial" w:cs="Arial" w:eastAsia="Arial" w:hAnsi="Arial"/>
          <w:b/>
          <w:bCs/>
          <w:color w:val="2E5090"/>
          <w:sz w:val="32"/>
          <w:szCs w:val="32"/>
        </w:rPr>
        <w:t xml:space="preserve">3. System Architecture</w:t>
      </w:r>
    </w:p>
    <w:p>
      <w:pPr>
        <w:pStyle w:val="Heading2"/>
        <w:spacing w:after="160" w:before="280"/>
      </w:pPr>
      <w:r>
        <w:rPr>
          <w:rFonts w:ascii="Arial" w:cs="Arial" w:eastAsia="Arial" w:hAnsi="Arial"/>
          <w:b/>
          <w:bCs/>
          <w:color w:val="1A1A1A"/>
          <w:sz w:val="26"/>
          <w:szCs w:val="26"/>
        </w:rPr>
        <w:t xml:space="preserve">3.1 Architecture Overview</w:t>
      </w:r>
    </w:p>
    <w:p>
      <w:pPr>
        <w:spacing w:after="160"/>
      </w:pPr>
      <w:r>
        <w:rPr>
          <w:rFonts w:ascii="Arial" w:cs="Arial" w:eastAsia="Arial" w:hAnsi="Arial"/>
          <w:color w:val="333333"/>
          <w:sz w:val="22"/>
          <w:szCs w:val="22"/>
        </w:rPr>
        <w:t xml:space="preserve">The AEGIS Browser Security Platform is structured as three distinct but tightly integrated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Runtime</w:t>
            </w:r>
          </w:p>
        </w:tc>
        <w:tc>
          <w:tcPr>
            <w:tcW w:type="dxa" w:w="3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Endpoint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Browser Extension (Manifest V3)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Chrome/Edge browser process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Real-time content inspection, policy enforcement, telemetry collection</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Endpoint</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DNS Configuration Agent (optional)</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OS-level service or MDM policy</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Points system DNS to Cloudflare Gateway resolver</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Cloudflare Gateway (Zero Trust)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Cloudflare edge network</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DNS filtering, threat intelligence, category blocking, logging</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CVG-AEGIS API Server</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Railway (persistent Express)</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Policy engine, telemetry ingestion, scoring, API surface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Async Processing Workers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Railway (BullMQ + Redis)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Event correlation, alerting, report generation, score computation</w:t>
            </w:r>
          </w:p>
        </w:tc>
      </w:tr>
      <w:tr>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Supabase (Postgres + RLS)</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Supabase managed</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Tenant-scoped data store, policy configs, audit logs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AEGIS Dashboard (React)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Vercel or Railway static</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MSP portal, client portal, reporting, policy management</w:t>
            </w:r>
          </w:p>
        </w:tc>
      </w:tr>
    </w:tbl>
    <w:p>
      <w:pPr>
        <w:pStyle w:val="Heading2"/>
        <w:spacing w:after="160" w:before="280"/>
      </w:pPr>
      <w:r>
        <w:rPr>
          <w:rFonts w:ascii="Arial" w:cs="Arial" w:eastAsia="Arial" w:hAnsi="Arial"/>
          <w:b/>
          <w:bCs/>
          <w:color w:val="1A1A1A"/>
          <w:sz w:val="26"/>
          <w:szCs w:val="26"/>
        </w:rPr>
        <w:t xml:space="preserve">3.2 Data Flow</w:t>
      </w:r>
    </w:p>
    <w:p>
      <w:pPr>
        <w:spacing w:after="160"/>
      </w:pPr>
      <w:r>
        <w:rPr>
          <w:rFonts w:ascii="Arial" w:cs="Arial" w:eastAsia="Arial" w:hAnsi="Arial"/>
          <w:color w:val="333333"/>
          <w:sz w:val="22"/>
          <w:szCs w:val="22"/>
        </w:rPr>
        <w:t xml:space="preserve">The system operates on two parallel data paths:</w:t>
      </w:r>
    </w:p>
    <w:p>
      <w:pPr>
        <w:pStyle w:val="Heading3"/>
        <w:spacing w:after="120" w:before="200"/>
      </w:pPr>
      <w:r>
        <w:rPr>
          <w:rFonts w:ascii="Arial" w:cs="Arial" w:eastAsia="Arial" w:hAnsi="Arial"/>
          <w:b/>
          <w:bCs/>
          <w:color w:val="1A1A1A"/>
          <w:sz w:val="24"/>
          <w:szCs w:val="24"/>
        </w:rPr>
        <w:t xml:space="preserve">3.2.1 Browser Extension Path (Real-Time)</w:t>
      </w:r>
    </w:p>
    <w:p>
      <w:pPr>
        <w:pStyle w:val="ListParagraph"/>
        <w:numPr>
          <w:ilvl w:val="0"/>
          <w:numId w:val="3"/>
        </w:numPr>
        <w:spacing w:after="80"/>
      </w:pPr>
      <w:r>
        <w:rPr>
          <w:rFonts w:ascii="Arial" w:cs="Arial" w:eastAsia="Arial" w:hAnsi="Arial"/>
          <w:color w:val="333333"/>
          <w:sz w:val="22"/>
          <w:szCs w:val="22"/>
        </w:rPr>
        <w:t xml:space="preserve">User navigates to a URL in Chrome or Edge.</w:t>
      </w:r>
    </w:p>
    <w:p>
      <w:pPr>
        <w:pStyle w:val="ListParagraph"/>
        <w:numPr>
          <w:ilvl w:val="0"/>
          <w:numId w:val="3"/>
        </w:numPr>
        <w:spacing w:after="80"/>
      </w:pPr>
      <w:r>
        <w:rPr>
          <w:rFonts w:ascii="Arial" w:cs="Arial" w:eastAsia="Arial" w:hAnsi="Arial"/>
          <w:color w:val="333333"/>
          <w:sz w:val="22"/>
          <w:szCs w:val="22"/>
        </w:rPr>
        <w:t xml:space="preserve">Extension intercepts via chrome.webRequest / chrome.webNavigation APIs.</w:t>
      </w:r>
    </w:p>
    <w:p>
      <w:pPr>
        <w:pStyle w:val="ListParagraph"/>
        <w:numPr>
          <w:ilvl w:val="0"/>
          <w:numId w:val="3"/>
        </w:numPr>
        <w:spacing w:after="80"/>
      </w:pPr>
      <w:r>
        <w:rPr>
          <w:rFonts w:ascii="Arial" w:cs="Arial" w:eastAsia="Arial" w:hAnsi="Arial"/>
          <w:color w:val="333333"/>
          <w:sz w:val="22"/>
          <w:szCs w:val="22"/>
        </w:rPr>
        <w:t xml:space="preserve">Local policy engine evaluates URL against tenant-specific rules (cached policy set).</w:t>
      </w:r>
    </w:p>
    <w:p>
      <w:pPr>
        <w:pStyle w:val="ListParagraph"/>
        <w:numPr>
          <w:ilvl w:val="0"/>
          <w:numId w:val="3"/>
        </w:numPr>
        <w:spacing w:after="80"/>
      </w:pPr>
      <w:r>
        <w:rPr>
          <w:rFonts w:ascii="Arial" w:cs="Arial" w:eastAsia="Arial" w:hAnsi="Arial"/>
          <w:color w:val="333333"/>
          <w:sz w:val="22"/>
          <w:szCs w:val="22"/>
        </w:rPr>
        <w:t xml:space="preserve">If blocked: user sees interstitial block page with reason and override request option.</w:t>
      </w:r>
    </w:p>
    <w:p>
      <w:pPr>
        <w:pStyle w:val="ListParagraph"/>
        <w:numPr>
          <w:ilvl w:val="0"/>
          <w:numId w:val="3"/>
        </w:numPr>
        <w:spacing w:after="80"/>
      </w:pPr>
      <w:r>
        <w:rPr>
          <w:rFonts w:ascii="Arial" w:cs="Arial" w:eastAsia="Arial" w:hAnsi="Arial"/>
          <w:color w:val="333333"/>
          <w:sz w:val="22"/>
          <w:szCs w:val="22"/>
        </w:rPr>
        <w:t xml:space="preserve">If allowed: extension classifies the SaaS app, monitors for credential entry, applies DLP rules on file uploads/downloads.</w:t>
      </w:r>
    </w:p>
    <w:p>
      <w:pPr>
        <w:pStyle w:val="ListParagraph"/>
        <w:numPr>
          <w:ilvl w:val="0"/>
          <w:numId w:val="3"/>
        </w:numPr>
        <w:spacing w:after="80"/>
      </w:pPr>
      <w:r>
        <w:rPr>
          <w:rFonts w:ascii="Arial" w:cs="Arial" w:eastAsia="Arial" w:hAnsi="Arial"/>
          <w:color w:val="333333"/>
          <w:sz w:val="22"/>
          <w:szCs w:val="22"/>
        </w:rPr>
        <w:t xml:space="preserve">Telemetry event (URL visit, block, credential alert, DLP event) is batched and sent to AEGIS API via HTTPS POST.</w:t>
      </w:r>
    </w:p>
    <w:p>
      <w:pPr>
        <w:pStyle w:val="ListParagraph"/>
        <w:numPr>
          <w:ilvl w:val="0"/>
          <w:numId w:val="3"/>
        </w:numPr>
        <w:spacing w:after="80"/>
      </w:pPr>
      <w:r>
        <w:rPr>
          <w:rFonts w:ascii="Arial" w:cs="Arial" w:eastAsia="Arial" w:hAnsi="Arial"/>
          <w:color w:val="333333"/>
          <w:sz w:val="22"/>
          <w:szCs w:val="22"/>
        </w:rPr>
        <w:t xml:space="preserve">AEGIS API authenticates the extension via device-bound token, validates tenant context, and enqueues event in BullMQ.</w:t>
      </w:r>
    </w:p>
    <w:p>
      <w:pPr>
        <w:pStyle w:val="ListParagraph"/>
        <w:numPr>
          <w:ilvl w:val="0"/>
          <w:numId w:val="3"/>
        </w:numPr>
        <w:spacing w:after="80"/>
      </w:pPr>
      <w:r>
        <w:rPr>
          <w:rFonts w:ascii="Arial" w:cs="Arial" w:eastAsia="Arial" w:hAnsi="Arial"/>
          <w:color w:val="333333"/>
          <w:sz w:val="22"/>
          <w:szCs w:val="22"/>
        </w:rPr>
        <w:t xml:space="preserve">Workers process events: update SaaS app inventory, check HIBP for credential breaches, compute risk scores, trigger alerts.</w:t>
      </w:r>
    </w:p>
    <w:p>
      <w:pPr>
        <w:pStyle w:val="Heading3"/>
        <w:spacing w:after="120" w:before="200"/>
      </w:pPr>
      <w:r>
        <w:rPr>
          <w:rFonts w:ascii="Arial" w:cs="Arial" w:eastAsia="Arial" w:hAnsi="Arial"/>
          <w:b/>
          <w:bCs/>
          <w:color w:val="1A1A1A"/>
          <w:sz w:val="24"/>
          <w:szCs w:val="24"/>
        </w:rPr>
        <w:t xml:space="preserve">3.2.2 DNS Filtering Path (System-Wide)</w:t>
      </w:r>
    </w:p>
    <w:p>
      <w:pPr>
        <w:pStyle w:val="ListParagraph"/>
        <w:numPr>
          <w:ilvl w:val="0"/>
          <w:numId w:val="3"/>
        </w:numPr>
        <w:spacing w:after="80"/>
      </w:pPr>
      <w:r>
        <w:rPr>
          <w:rFonts w:ascii="Arial" w:cs="Arial" w:eastAsia="Arial" w:hAnsi="Arial"/>
          <w:color w:val="333333"/>
          <w:sz w:val="22"/>
          <w:szCs w:val="22"/>
        </w:rPr>
        <w:t xml:space="preserve">DNS agent or MDM policy sets system resolver to Cloudflare Gateway DoH endpoint (unique per-tenant Gateway location).</w:t>
      </w:r>
    </w:p>
    <w:p>
      <w:pPr>
        <w:pStyle w:val="ListParagraph"/>
        <w:numPr>
          <w:ilvl w:val="0"/>
          <w:numId w:val="3"/>
        </w:numPr>
        <w:spacing w:after="80"/>
      </w:pPr>
      <w:r>
        <w:rPr>
          <w:rFonts w:ascii="Arial" w:cs="Arial" w:eastAsia="Arial" w:hAnsi="Arial"/>
          <w:color w:val="333333"/>
          <w:sz w:val="22"/>
          <w:szCs w:val="22"/>
        </w:rPr>
        <w:t xml:space="preserve">All DNS queries from the device route through Cloudflare Gateway.</w:t>
      </w:r>
    </w:p>
    <w:p>
      <w:pPr>
        <w:pStyle w:val="ListParagraph"/>
        <w:numPr>
          <w:ilvl w:val="0"/>
          <w:numId w:val="3"/>
        </w:numPr>
        <w:spacing w:after="80"/>
      </w:pPr>
      <w:r>
        <w:rPr>
          <w:rFonts w:ascii="Arial" w:cs="Arial" w:eastAsia="Arial" w:hAnsi="Arial"/>
          <w:color w:val="333333"/>
          <w:sz w:val="22"/>
          <w:szCs w:val="22"/>
        </w:rPr>
        <w:t xml:space="preserve">Cloudflare applies tenant-specific category blocking, threat intel, and custom block/allow lists configured via Gateway API.</w:t>
      </w:r>
    </w:p>
    <w:p>
      <w:pPr>
        <w:pStyle w:val="ListParagraph"/>
        <w:numPr>
          <w:ilvl w:val="0"/>
          <w:numId w:val="3"/>
        </w:numPr>
        <w:spacing w:after="80"/>
      </w:pPr>
      <w:r>
        <w:rPr>
          <w:rFonts w:ascii="Arial" w:cs="Arial" w:eastAsia="Arial" w:hAnsi="Arial"/>
          <w:color w:val="333333"/>
          <w:sz w:val="22"/>
          <w:szCs w:val="22"/>
        </w:rPr>
        <w:t xml:space="preserve">Query logs are pulled by AEGIS workers via Cloudflare API on a polling interval (1–5 min configurable).</w:t>
      </w:r>
    </w:p>
    <w:p>
      <w:pPr>
        <w:pStyle w:val="ListParagraph"/>
        <w:numPr>
          <w:ilvl w:val="0"/>
          <w:numId w:val="3"/>
        </w:numPr>
        <w:spacing w:after="80"/>
      </w:pPr>
      <w:r>
        <w:rPr>
          <w:rFonts w:ascii="Arial" w:cs="Arial" w:eastAsia="Arial" w:hAnsi="Arial"/>
          <w:color w:val="333333"/>
          <w:sz w:val="22"/>
          <w:szCs w:val="22"/>
        </w:rPr>
        <w:t xml:space="preserve">DNS telemetry is correlated with browser extension telemetry by device ID and timestamp.</w:t>
      </w:r>
    </w:p>
    <w:p>
      <w:r>
        <w:br w:type="page"/>
      </w:r>
    </w:p>
    <w:p>
      <w:pPr>
        <w:pStyle w:val="Heading1"/>
        <w:spacing w:after="200" w:before="360"/>
      </w:pPr>
      <w:r>
        <w:rPr>
          <w:rFonts w:ascii="Arial" w:cs="Arial" w:eastAsia="Arial" w:hAnsi="Arial"/>
          <w:b/>
          <w:bCs/>
          <w:color w:val="2E5090"/>
          <w:sz w:val="32"/>
          <w:szCs w:val="32"/>
        </w:rPr>
        <w:t xml:space="preserve">4. Browser Extension Architecture</w:t>
      </w:r>
    </w:p>
    <w:p>
      <w:pPr>
        <w:pStyle w:val="Heading2"/>
        <w:spacing w:after="160" w:before="280"/>
      </w:pPr>
      <w:r>
        <w:rPr>
          <w:rFonts w:ascii="Arial" w:cs="Arial" w:eastAsia="Arial" w:hAnsi="Arial"/>
          <w:b/>
          <w:bCs/>
          <w:color w:val="1A1A1A"/>
          <w:sz w:val="26"/>
          <w:szCs w:val="26"/>
        </w:rPr>
        <w:t xml:space="preserve">4.1 Manifest V3 Constraints</w:t>
      </w:r>
    </w:p>
    <w:p>
      <w:pPr>
        <w:spacing w:after="160"/>
      </w:pPr>
      <w:r>
        <w:rPr>
          <w:rFonts w:ascii="Arial" w:cs="Arial" w:eastAsia="Arial" w:hAnsi="Arial"/>
          <w:color w:val="333333"/>
          <w:sz w:val="22"/>
          <w:szCs w:val="22"/>
        </w:rPr>
        <w:t xml:space="preserve">Chrome’s Manifest V3 (MV3) is mandatory for all new Chrome Web Store submissions. MV3 introduces significant architectural constraints that shape the extension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MV3 Change</w:t>
            </w:r>
          </w:p>
        </w:tc>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AEGIS Approach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Service worker replaces background page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No persistent background process; worker terminates after idle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State persisted in chrome.storage.session; worker rehydrates from storage on wake</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declarativeNetRequest replaces webRequest.onBeforeRequest (blocking)</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Cannot programmatically block requests with arbitrary logic</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Use declarativeNetRequest static + dynamic rules for URL blocking; supplement with content script DOM analysis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Remote code execution banned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Cannot fetch and execute JS from server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All logic bundled at build time; policy updates are data (JSON), not code</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Host permissions require user consent</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Broad &lt;all_urls&gt; triggers permission warning</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Request &lt;all_urls&gt; with clear justification; MSP force-deploys via Intune/RMM to bypass consent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5-minute service worker timeout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Long-running tasks killed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Offload heavy processing to AEGIS backend; extension is thin telemetry + enforcement client</w:t>
            </w:r>
          </w:p>
        </w:tc>
      </w:tr>
    </w:tbl>
    <w:p>
      <w:pPr>
        <w:pStyle w:val="Heading2"/>
        <w:spacing w:after="160" w:before="280"/>
      </w:pPr>
      <w:r>
        <w:rPr>
          <w:rFonts w:ascii="Arial" w:cs="Arial" w:eastAsia="Arial" w:hAnsi="Arial"/>
          <w:b/>
          <w:bCs/>
          <w:color w:val="1A1A1A"/>
          <w:sz w:val="26"/>
          <w:szCs w:val="26"/>
        </w:rPr>
        <w:t xml:space="preserve">4.2 Extension Components</w:t>
      </w:r>
    </w:p>
    <w:p>
      <w:pPr>
        <w:pStyle w:val="Heading3"/>
        <w:spacing w:after="120" w:before="200"/>
      </w:pPr>
      <w:r>
        <w:rPr>
          <w:rFonts w:ascii="Arial" w:cs="Arial" w:eastAsia="Arial" w:hAnsi="Arial"/>
          <w:b/>
          <w:bCs/>
          <w:color w:val="1A1A1A"/>
          <w:sz w:val="24"/>
          <w:szCs w:val="24"/>
        </w:rPr>
        <w:t xml:space="preserve">4.2.1 Service Worker (background.js)</w:t>
      </w:r>
    </w:p>
    <w:p>
      <w:pPr>
        <w:spacing w:after="160"/>
      </w:pPr>
      <w:r>
        <w:rPr>
          <w:rFonts w:ascii="Arial" w:cs="Arial" w:eastAsia="Arial" w:hAnsi="Arial"/>
          <w:color w:val="333333"/>
          <w:sz w:val="22"/>
          <w:szCs w:val="22"/>
        </w:rPr>
        <w:t xml:space="preserve">The service worker is the coordination hub. It manages policy cache retrieval, declarativeNetRequest rule updates, telemetry batching, device authentication token refresh, and communication with content scripts via chrome.runtime messaging.</w:t>
      </w:r>
    </w:p>
    <w:p>
      <w:pPr>
        <w:pStyle w:val="Heading3"/>
        <w:spacing w:after="120" w:before="200"/>
      </w:pPr>
      <w:r>
        <w:rPr>
          <w:rFonts w:ascii="Arial" w:cs="Arial" w:eastAsia="Arial" w:hAnsi="Arial"/>
          <w:b/>
          <w:bCs/>
          <w:color w:val="1A1A1A"/>
          <w:sz w:val="24"/>
          <w:szCs w:val="24"/>
        </w:rPr>
        <w:t xml:space="preserve">4.2.2 Content Scripts</w:t>
      </w:r>
    </w:p>
    <w:p>
      <w:pPr>
        <w:spacing w:after="160"/>
      </w:pPr>
      <w:r>
        <w:rPr>
          <w:rFonts w:ascii="Arial" w:cs="Arial" w:eastAsia="Arial" w:hAnsi="Arial"/>
          <w:color w:val="333333"/>
          <w:sz w:val="22"/>
          <w:szCs w:val="22"/>
        </w:rPr>
        <w:t xml:space="preserve">Injected into web pages to provide capabilities that the service worker and declarativeNetRequest cannot:</w:t>
      </w:r>
    </w:p>
    <w:p>
      <w:pPr>
        <w:pStyle w:val="ListParagraph"/>
        <w:numPr>
          <w:ilvl w:val="0"/>
          <w:numId w:val="2"/>
        </w:numPr>
        <w:spacing w:after="80"/>
      </w:pPr>
      <w:r>
        <w:rPr>
          <w:rFonts w:ascii="Arial" w:cs="Arial" w:eastAsia="Arial" w:hAnsi="Arial"/>
          <w:b/>
          <w:bCs/>
          <w:color w:val="333333"/>
          <w:sz w:val="22"/>
          <w:szCs w:val="22"/>
        </w:rPr>
        <w:t xml:space="preserve">Phishing DOM Analysis: </w:t>
      </w:r>
      <w:r>
        <w:rPr>
          <w:rFonts w:ascii="Arial" w:cs="Arial" w:eastAsia="Arial" w:hAnsi="Arial"/>
          <w:color w:val="333333"/>
          <w:sz w:val="22"/>
          <w:szCs w:val="22"/>
        </w:rPr>
        <w:t xml:space="preserve">Inspects page content for credential harvesting forms, brand impersonation indicators, and suspicious form action URLs. Uses heuristic scoring (login form + mismatched domain + recently registered domain = high phishing risk).</w:t>
      </w:r>
    </w:p>
    <w:p>
      <w:pPr>
        <w:pStyle w:val="ListParagraph"/>
        <w:numPr>
          <w:ilvl w:val="0"/>
          <w:numId w:val="2"/>
        </w:numPr>
        <w:spacing w:after="80"/>
      </w:pPr>
      <w:r>
        <w:rPr>
          <w:rFonts w:ascii="Arial" w:cs="Arial" w:eastAsia="Arial" w:hAnsi="Arial"/>
          <w:b/>
          <w:bCs/>
          <w:color w:val="333333"/>
          <w:sz w:val="22"/>
          <w:szCs w:val="22"/>
        </w:rPr>
        <w:t xml:space="preserve">Credential Monitoring: </w:t>
      </w:r>
      <w:r>
        <w:rPr>
          <w:rFonts w:ascii="Arial" w:cs="Arial" w:eastAsia="Arial" w:hAnsi="Arial"/>
          <w:color w:val="333333"/>
          <w:sz w:val="22"/>
          <w:szCs w:val="22"/>
        </w:rPr>
        <w:t xml:space="preserve">Detects when users enter credentials by monitoring input fields with type=password. Hashes credential (SHA-1 prefix) client-side for HIBP k-anonymity check. Flags credential reuse across sites.</w:t>
      </w:r>
    </w:p>
    <w:p>
      <w:pPr>
        <w:pStyle w:val="ListParagraph"/>
        <w:numPr>
          <w:ilvl w:val="0"/>
          <w:numId w:val="2"/>
        </w:numPr>
        <w:spacing w:after="80"/>
      </w:pPr>
      <w:r>
        <w:rPr>
          <w:rFonts w:ascii="Arial" w:cs="Arial" w:eastAsia="Arial" w:hAnsi="Arial"/>
          <w:b/>
          <w:bCs/>
          <w:color w:val="333333"/>
          <w:sz w:val="22"/>
          <w:szCs w:val="22"/>
        </w:rPr>
        <w:t xml:space="preserve">DLP Enforcement: </w:t>
      </w:r>
      <w:r>
        <w:rPr>
          <w:rFonts w:ascii="Arial" w:cs="Arial" w:eastAsia="Arial" w:hAnsi="Arial"/>
          <w:color w:val="333333"/>
          <w:sz w:val="22"/>
          <w:szCs w:val="22"/>
        </w:rPr>
        <w:t xml:space="preserve">Monitors file input elements and drag-and-drop events. Evaluates file uploads against tenant DLP policy (blocked domains, file type restrictions, size limits). Can inject a block overlay before upload completes.</w:t>
      </w:r>
    </w:p>
    <w:p>
      <w:pPr>
        <w:pStyle w:val="ListParagraph"/>
        <w:numPr>
          <w:ilvl w:val="0"/>
          <w:numId w:val="2"/>
        </w:numPr>
        <w:spacing w:after="80"/>
      </w:pPr>
      <w:r>
        <w:rPr>
          <w:rFonts w:ascii="Arial" w:cs="Arial" w:eastAsia="Arial" w:hAnsi="Arial"/>
          <w:b/>
          <w:bCs/>
          <w:color w:val="333333"/>
          <w:sz w:val="22"/>
          <w:szCs w:val="22"/>
        </w:rPr>
        <w:t xml:space="preserve">SaaS App Classification: </w:t>
      </w:r>
      <w:r>
        <w:rPr>
          <w:rFonts w:ascii="Arial" w:cs="Arial" w:eastAsia="Arial" w:hAnsi="Arial"/>
          <w:color w:val="333333"/>
          <w:sz w:val="22"/>
          <w:szCs w:val="22"/>
        </w:rPr>
        <w:t xml:space="preserve">Reads page metadata (title, favicon, known DOM signatures) to classify the current site as a known SaaS application. Augments URL-only classification from the service worker.</w:t>
      </w:r>
    </w:p>
    <w:p>
      <w:pPr>
        <w:pStyle w:val="Heading3"/>
        <w:spacing w:after="120" w:before="200"/>
      </w:pPr>
      <w:r>
        <w:rPr>
          <w:rFonts w:ascii="Arial" w:cs="Arial" w:eastAsia="Arial" w:hAnsi="Arial"/>
          <w:b/>
          <w:bCs/>
          <w:color w:val="1A1A1A"/>
          <w:sz w:val="24"/>
          <w:szCs w:val="24"/>
        </w:rPr>
        <w:t xml:space="preserve">4.2.3 Popup UI</w:t>
      </w:r>
    </w:p>
    <w:p>
      <w:pPr>
        <w:spacing w:after="160"/>
      </w:pPr>
      <w:r>
        <w:rPr>
          <w:rFonts w:ascii="Arial" w:cs="Arial" w:eastAsia="Arial" w:hAnsi="Arial"/>
          <w:color w:val="333333"/>
          <w:sz w:val="22"/>
          <w:szCs w:val="22"/>
        </w:rPr>
        <w:t xml:space="preserve">Minimal user-facing interface showing current protection status, recent block events, and a quick link to request an override. Branded with tenant logo and Ducky Intelligence footer tagline.</w:t>
      </w:r>
    </w:p>
    <w:p>
      <w:pPr>
        <w:pStyle w:val="Heading3"/>
        <w:spacing w:after="120" w:before="200"/>
      </w:pPr>
      <w:r>
        <w:rPr>
          <w:rFonts w:ascii="Arial" w:cs="Arial" w:eastAsia="Arial" w:hAnsi="Arial"/>
          <w:b/>
          <w:bCs/>
          <w:color w:val="1A1A1A"/>
          <w:sz w:val="24"/>
          <w:szCs w:val="24"/>
        </w:rPr>
        <w:t xml:space="preserve">4.2.4 Options/Settings Page</w:t>
      </w:r>
    </w:p>
    <w:p>
      <w:pPr>
        <w:spacing w:after="160"/>
      </w:pPr>
      <w:r>
        <w:rPr>
          <w:rFonts w:ascii="Arial" w:cs="Arial" w:eastAsia="Arial" w:hAnsi="Arial"/>
          <w:color w:val="333333"/>
          <w:sz w:val="22"/>
          <w:szCs w:val="22"/>
        </w:rPr>
        <w:t xml:space="preserve">Available only to MSP-designated local admins. Allows toggling of device-level overrides (e.g., temporarily disable DLP for a specific upload) with audit logging. Standard users see a read-only status page.</w:t>
      </w:r>
    </w:p>
    <w:p>
      <w:pPr>
        <w:pStyle w:val="Heading2"/>
        <w:spacing w:after="160" w:before="280"/>
      </w:pPr>
      <w:r>
        <w:rPr>
          <w:rFonts w:ascii="Arial" w:cs="Arial" w:eastAsia="Arial" w:hAnsi="Arial"/>
          <w:b/>
          <w:bCs/>
          <w:color w:val="1A1A1A"/>
          <w:sz w:val="26"/>
          <w:szCs w:val="26"/>
        </w:rPr>
        <w:t xml:space="preserve">4.3 Policy Engine (Client-Side)</w:t>
      </w:r>
    </w:p>
    <w:p>
      <w:pPr>
        <w:spacing w:after="160"/>
      </w:pPr>
      <w:r>
        <w:rPr>
          <w:rFonts w:ascii="Arial" w:cs="Arial" w:eastAsia="Arial" w:hAnsi="Arial"/>
          <w:color w:val="333333"/>
          <w:sz w:val="22"/>
          <w:szCs w:val="22"/>
        </w:rPr>
        <w:t xml:space="preserve">The extension maintains a local policy cache, refreshed from the AEGIS API on a configurable interval (default: 15 minutes). The policy document is a JSON structure scoped to the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Category</w:t>
            </w:r>
          </w:p>
        </w:tc>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Types</w:t>
            </w:r>
          </w:p>
        </w:tc>
        <w:tc>
          <w:tcPr>
            <w:tcW w:type="dxa" w:w="3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Mechanism</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URL Blocking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Category blocks, custom blocklist, custom allowlist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declarativeNetRequest dynamic rules</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Phishing Protection</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Heuristic thresholds, domain age check, Safe Browsing API</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Content script DOM analysis + service worker URL check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Credential Monitoring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Breach check enabled/disabled, reuse detection threshold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Content script input monitoring</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DLP — File Upload</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Blocked destination domains, allowed file types, max file size</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Content script file input interception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DLP — File Download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Blocked source domains, file type restrictions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chrome.downloads API monitoring</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DLP — Clipboard</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Block copy/paste to unsanctioned domains</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Content script clipboard event monitoring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SaaS Classification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Sanctioned app list, unsanctioned alert threshold</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Service worker URL matching + content script DOM</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Browser Compliance</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Required settings (e.g., safe browsing enabled, auto-update)</w:t>
            </w:r>
          </w:p>
        </w:tc>
        <w:tc>
          <w:tcPr>
            <w:tcW w:type="dxa" w:w="3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chrome.management / chrome.privacy APIs</w:t>
            </w:r>
          </w:p>
        </w:tc>
      </w:tr>
    </w:tbl>
    <w:p>
      <w:pPr>
        <w:pStyle w:val="Heading2"/>
        <w:spacing w:after="160" w:before="280"/>
      </w:pPr>
      <w:r>
        <w:rPr>
          <w:rFonts w:ascii="Arial" w:cs="Arial" w:eastAsia="Arial" w:hAnsi="Arial"/>
          <w:b/>
          <w:bCs/>
          <w:color w:val="1A1A1A"/>
          <w:sz w:val="26"/>
          <w:szCs w:val="26"/>
        </w:rPr>
        <w:t xml:space="preserve">4.4 Telemetry Schema</w:t>
      </w:r>
    </w:p>
    <w:p>
      <w:pPr>
        <w:spacing w:after="160"/>
      </w:pPr>
      <w:r>
        <w:rPr>
          <w:rFonts w:ascii="Arial" w:cs="Arial" w:eastAsia="Arial" w:hAnsi="Arial"/>
          <w:color w:val="333333"/>
          <w:sz w:val="22"/>
          <w:szCs w:val="22"/>
        </w:rPr>
        <w:t xml:space="preserve">All telemetry events conform to a unified schema sent as batched HTTPS POST to the AEGIS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event_id</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UUID v7</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Unique event identifier (time-sortable)</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device_id</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Device-bound identifier from enrollment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tenant_id</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Tenant context from policy cache</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UUID (nullable)</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Authenticated user if SSO integration active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event_type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url_visit | block | credential_alert | dlp_event | compliance_check | saas_discovery</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ISO 8601</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Client-side event timestamp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url</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Full URL (stripped of query params for privacy if configured)</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Extracted domain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app_classification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string (nullable)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SaaS app name if classified</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risk_score</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0–100</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Client-side heuristic risk score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action_taken</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allowed | blocked | warned | override_requested</w:t>
            </w:r>
          </w:p>
        </w:tc>
      </w:tr>
      <w:tr>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metadata</w:t>
            </w:r>
          </w:p>
        </w:tc>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Event-type-specific additional data</w:t>
            </w:r>
          </w:p>
        </w:tc>
      </w:tr>
    </w:tbl>
    <w:p>
      <w:pPr>
        <w:pStyle w:val="Heading2"/>
        <w:spacing w:after="160" w:before="280"/>
      </w:pPr>
      <w:r>
        <w:rPr>
          <w:rFonts w:ascii="Arial" w:cs="Arial" w:eastAsia="Arial" w:hAnsi="Arial"/>
          <w:b/>
          <w:bCs/>
          <w:color w:val="1A1A1A"/>
          <w:sz w:val="26"/>
          <w:szCs w:val="26"/>
        </w:rPr>
        <w:t xml:space="preserve">4.5 Deployment</w:t>
      </w:r>
    </w:p>
    <w:p>
      <w:pPr>
        <w:spacing w:after="160"/>
      </w:pPr>
      <w:r>
        <w:rPr>
          <w:rFonts w:ascii="Arial" w:cs="Arial" w:eastAsia="Arial" w:hAnsi="Arial"/>
          <w:color w:val="333333"/>
          <w:sz w:val="22"/>
          <w:szCs w:val="22"/>
        </w:rPr>
        <w:t xml:space="preserve">The extension is distributed through two channels:</w:t>
      </w:r>
    </w:p>
    <w:p>
      <w:pPr>
        <w:pStyle w:val="ListParagraph"/>
        <w:numPr>
          <w:ilvl w:val="0"/>
          <w:numId w:val="2"/>
        </w:numPr>
        <w:spacing w:after="80"/>
      </w:pPr>
      <w:r>
        <w:rPr>
          <w:rFonts w:ascii="Arial" w:cs="Arial" w:eastAsia="Arial" w:hAnsi="Arial"/>
          <w:b/>
          <w:bCs/>
          <w:color w:val="333333"/>
          <w:sz w:val="22"/>
          <w:szCs w:val="22"/>
        </w:rPr>
        <w:t xml:space="preserve">Chrome Web Store: </w:t>
      </w:r>
      <w:r>
        <w:rPr>
          <w:rFonts w:ascii="Arial" w:cs="Arial" w:eastAsia="Arial" w:hAnsi="Arial"/>
          <w:color w:val="333333"/>
          <w:sz w:val="22"/>
          <w:szCs w:val="22"/>
        </w:rPr>
        <w:t xml:space="preserve">Public listing for manual install and Chrome Web Store policy-based deployment. Required for Chrome’s extension hosting policy.</w:t>
      </w:r>
    </w:p>
    <w:p>
      <w:pPr>
        <w:pStyle w:val="ListParagraph"/>
        <w:numPr>
          <w:ilvl w:val="0"/>
          <w:numId w:val="2"/>
        </w:numPr>
        <w:spacing w:after="80"/>
      </w:pPr>
      <w:r>
        <w:rPr>
          <w:rFonts w:ascii="Arial" w:cs="Arial" w:eastAsia="Arial" w:hAnsi="Arial"/>
          <w:b/>
          <w:bCs/>
          <w:color w:val="333333"/>
          <w:sz w:val="22"/>
          <w:szCs w:val="22"/>
        </w:rPr>
        <w:t xml:space="preserve">MSP Force-Deploy via RMM/MDM: </w:t>
      </w:r>
      <w:r>
        <w:rPr>
          <w:rFonts w:ascii="Arial" w:cs="Arial" w:eastAsia="Arial" w:hAnsi="Arial"/>
          <w:color w:val="333333"/>
          <w:sz w:val="22"/>
          <w:szCs w:val="22"/>
        </w:rPr>
        <w:t xml:space="preserve">PowerShell scripts for Intune, NinjaOne, Datto RMM, and ConnectWise Automate that set the ExtensionInstallForcelist registry key (Chrome) or ExtensionInstallForceList policy (Edge). This bypasses user consent and ensures 100% deployment across managed devices.</w:t>
      </w:r>
    </w:p>
    <w:p>
      <w:pPr>
        <w:spacing w:after="160"/>
      </w:pPr>
      <w:r>
        <w:rPr>
          <w:rFonts w:ascii="Arial" w:cs="Arial" w:eastAsia="Arial" w:hAnsi="Arial"/>
          <w:color w:val="333333"/>
          <w:sz w:val="22"/>
          <w:szCs w:val="22"/>
        </w:rPr>
        <w:t xml:space="preserve">Enrollment flow: Extension activates → checks for device_id in chrome.storage.local → if absent, calls AEGIS API /enroll with RMM-provided enrollment token → receives device_id + tenant_id + initial policy set → stores in chrome.storage.local.</w:t>
      </w:r>
    </w:p>
    <w:p>
      <w:r>
        <w:br w:type="page"/>
      </w:r>
    </w:p>
    <w:p>
      <w:pPr>
        <w:pStyle w:val="Heading1"/>
        <w:spacing w:after="200" w:before="360"/>
      </w:pPr>
      <w:r>
        <w:rPr>
          <w:rFonts w:ascii="Arial" w:cs="Arial" w:eastAsia="Arial" w:hAnsi="Arial"/>
          <w:b/>
          <w:bCs/>
          <w:color w:val="2E5090"/>
          <w:sz w:val="32"/>
          <w:szCs w:val="32"/>
        </w:rPr>
        <w:t xml:space="preserve">5. DNS Filtering Layer (Cloudflare Gateway)</w:t>
      </w:r>
    </w:p>
    <w:p>
      <w:pPr>
        <w:pStyle w:val="Heading2"/>
        <w:spacing w:after="160" w:before="280"/>
      </w:pPr>
      <w:r>
        <w:rPr>
          <w:rFonts w:ascii="Arial" w:cs="Arial" w:eastAsia="Arial" w:hAnsi="Arial"/>
          <w:b/>
          <w:bCs/>
          <w:color w:val="1A1A1A"/>
          <w:sz w:val="26"/>
          <w:szCs w:val="26"/>
        </w:rPr>
        <w:t xml:space="preserve">5.1 Architecture Decision</w:t>
      </w:r>
    </w:p>
    <w:p>
      <w:pPr>
        <w:spacing w:after="160"/>
      </w:pPr>
      <w:r>
        <w:rPr>
          <w:rFonts w:ascii="Arial" w:cs="Arial" w:eastAsia="Arial" w:hAnsi="Arial"/>
          <w:color w:val="333333"/>
          <w:sz w:val="22"/>
          <w:szCs w:val="22"/>
        </w:rPr>
        <w:t xml:space="preserve">AEGIS integrates Cloudflare Gateway (part of Cloudflare Zero Trust) as the DNS filtering infrastructure layer rather than building a custom DNS resolver. This decision is based on:</w:t>
      </w:r>
    </w:p>
    <w:p>
      <w:pPr>
        <w:pStyle w:val="ListParagraph"/>
        <w:numPr>
          <w:ilvl w:val="0"/>
          <w:numId w:val="2"/>
        </w:numPr>
        <w:spacing w:after="80"/>
      </w:pPr>
      <w:r>
        <w:rPr>
          <w:rFonts w:ascii="Arial" w:cs="Arial" w:eastAsia="Arial" w:hAnsi="Arial"/>
          <w:b/>
          <w:bCs/>
          <w:color w:val="333333"/>
          <w:sz w:val="22"/>
          <w:szCs w:val="22"/>
        </w:rPr>
        <w:t xml:space="preserve">Global Edge Network: </w:t>
      </w:r>
      <w:r>
        <w:rPr>
          <w:rFonts w:ascii="Arial" w:cs="Arial" w:eastAsia="Arial" w:hAnsi="Arial"/>
          <w:color w:val="333333"/>
          <w:sz w:val="22"/>
          <w:szCs w:val="22"/>
        </w:rPr>
        <w:t xml:space="preserve">Cloudflare operates 310+ data centers worldwide, providing sub-10ms DNS resolution from virtually any client location.</w:t>
      </w:r>
    </w:p>
    <w:p>
      <w:pPr>
        <w:pStyle w:val="ListParagraph"/>
        <w:numPr>
          <w:ilvl w:val="0"/>
          <w:numId w:val="2"/>
        </w:numPr>
        <w:spacing w:after="80"/>
      </w:pPr>
      <w:r>
        <w:rPr>
          <w:rFonts w:ascii="Arial" w:cs="Arial" w:eastAsia="Arial" w:hAnsi="Arial"/>
          <w:b/>
          <w:bCs/>
          <w:color w:val="333333"/>
          <w:sz w:val="22"/>
          <w:szCs w:val="22"/>
        </w:rPr>
        <w:t xml:space="preserve">Threat Intelligence: </w:t>
      </w:r>
      <w:r>
        <w:rPr>
          <w:rFonts w:ascii="Arial" w:cs="Arial" w:eastAsia="Arial" w:hAnsi="Arial"/>
          <w:color w:val="333333"/>
          <w:sz w:val="22"/>
          <w:szCs w:val="22"/>
        </w:rPr>
        <w:t xml:space="preserve">Cloudflare processes approximately 1.7 billion DNS queries per day and maintains comprehensive threat intelligence feeds that would take years to replicate.</w:t>
      </w:r>
    </w:p>
    <w:p>
      <w:pPr>
        <w:pStyle w:val="ListParagraph"/>
        <w:numPr>
          <w:ilvl w:val="0"/>
          <w:numId w:val="2"/>
        </w:numPr>
        <w:spacing w:after="80"/>
      </w:pPr>
      <w:r>
        <w:rPr>
          <w:rFonts w:ascii="Arial" w:cs="Arial" w:eastAsia="Arial" w:hAnsi="Arial"/>
          <w:b/>
          <w:bCs/>
          <w:color w:val="333333"/>
          <w:sz w:val="22"/>
          <w:szCs w:val="22"/>
        </w:rPr>
        <w:t xml:space="preserve">API-First Design: </w:t>
      </w:r>
      <w:r>
        <w:rPr>
          <w:rFonts w:ascii="Arial" w:cs="Arial" w:eastAsia="Arial" w:hAnsi="Arial"/>
          <w:color w:val="333333"/>
          <w:sz w:val="22"/>
          <w:szCs w:val="22"/>
        </w:rPr>
        <w:t xml:space="preserve">Full REST API for programmatic management of Gateway policies, locations, lists, and log retrieval. Enables AEGIS to be the management plane.</w:t>
      </w:r>
    </w:p>
    <w:p>
      <w:pPr>
        <w:pStyle w:val="ListParagraph"/>
        <w:numPr>
          <w:ilvl w:val="0"/>
          <w:numId w:val="2"/>
        </w:numPr>
        <w:spacing w:after="80"/>
      </w:pPr>
      <w:r>
        <w:rPr>
          <w:rFonts w:ascii="Arial" w:cs="Arial" w:eastAsia="Arial" w:hAnsi="Arial"/>
          <w:b/>
          <w:bCs/>
          <w:color w:val="333333"/>
          <w:sz w:val="22"/>
          <w:szCs w:val="22"/>
        </w:rPr>
        <w:t xml:space="preserve">Brand Recognition: </w:t>
      </w:r>
      <w:r>
        <w:rPr>
          <w:rFonts w:ascii="Arial" w:cs="Arial" w:eastAsia="Arial" w:hAnsi="Arial"/>
          <w:color w:val="333333"/>
          <w:sz w:val="22"/>
          <w:szCs w:val="22"/>
        </w:rPr>
        <w:t xml:space="preserve">Cloudflare is a recognized and trusted brand in the MSP channel. Using Cloudflare as infrastructure lends credibility.</w:t>
      </w:r>
    </w:p>
    <w:p>
      <w:pPr>
        <w:pStyle w:val="ListParagraph"/>
        <w:numPr>
          <w:ilvl w:val="0"/>
          <w:numId w:val="2"/>
        </w:numPr>
        <w:spacing w:after="80"/>
      </w:pPr>
      <w:r>
        <w:rPr>
          <w:rFonts w:ascii="Arial" w:cs="Arial" w:eastAsia="Arial" w:hAnsi="Arial"/>
          <w:b/>
          <w:bCs/>
          <w:color w:val="333333"/>
          <w:sz w:val="22"/>
          <w:szCs w:val="22"/>
        </w:rPr>
        <w:t xml:space="preserve">Cost Efficiency: </w:t>
      </w:r>
      <w:r>
        <w:rPr>
          <w:rFonts w:ascii="Arial" w:cs="Arial" w:eastAsia="Arial" w:hAnsi="Arial"/>
          <w:color w:val="333333"/>
          <w:sz w:val="22"/>
          <w:szCs w:val="22"/>
        </w:rPr>
        <w:t xml:space="preserve">Cloudflare Zero Trust free tier supports up to 50 users. Paid plans provide per-seat pricing that can be passed through or absorbed.</w:t>
      </w:r>
    </w:p>
    <w:p>
      <w:pPr>
        <w:pStyle w:val="Heading2"/>
        <w:spacing w:after="160" w:before="280"/>
      </w:pPr>
      <w:r>
        <w:rPr>
          <w:rFonts w:ascii="Arial" w:cs="Arial" w:eastAsia="Arial" w:hAnsi="Arial"/>
          <w:b/>
          <w:bCs/>
          <w:color w:val="1A1A1A"/>
          <w:sz w:val="26"/>
          <w:szCs w:val="26"/>
        </w:rPr>
        <w:t xml:space="preserve">5.2 Integration Architecture</w:t>
      </w:r>
    </w:p>
    <w:p>
      <w:pPr>
        <w:spacing w:after="160"/>
      </w:pPr>
      <w:r>
        <w:rPr>
          <w:rFonts w:ascii="Arial" w:cs="Arial" w:eastAsia="Arial" w:hAnsi="Arial"/>
          <w:color w:val="333333"/>
          <w:sz w:val="22"/>
          <w:szCs w:val="22"/>
        </w:rPr>
        <w:t xml:space="preserve">AEGIS acts as the management plane for Cloudflare Gateway. Each Cavaridge tenant maps to a Cloudflare Gateway location with a unique DoH (DNS over HTTPS)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AEGIS Action</w:t>
            </w:r>
          </w:p>
        </w:tc>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Cloudflare API Call</w:t>
            </w:r>
          </w:p>
        </w:tc>
        <w:tc>
          <w:tcPr>
            <w:tcW w:type="dxa" w:w="3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Tenant onboarding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POST /accounts/{id}/gateway/locations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Create unique Gateway location per tenant</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Policy update</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PUT /accounts/{id}/gateway/rules</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Sync AEGIS DNS policy to Cloudflare Gateway rules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Custom block/allow list</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POST /accounts/{id}/gateway/lists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Create and manage per-tenant domain lists</w:t>
            </w:r>
          </w:p>
        </w:tc>
      </w:tr>
      <w:tr>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Log retrieval</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 /accounts/{id}/gateway/dns_log</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Pull DNS query logs for correlation with browser telemetry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Category configuration</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PUT /accounts/{id}/gateway/categories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Enable/disable content categories per tenant policy</w:t>
            </w:r>
          </w:p>
        </w:tc>
      </w:tr>
    </w:tbl>
    <w:p>
      <w:pPr>
        <w:pStyle w:val="Heading2"/>
        <w:spacing w:after="160" w:before="280"/>
      </w:pPr>
      <w:r>
        <w:rPr>
          <w:rFonts w:ascii="Arial" w:cs="Arial" w:eastAsia="Arial" w:hAnsi="Arial"/>
          <w:b/>
          <w:bCs/>
          <w:color w:val="1A1A1A"/>
          <w:sz w:val="26"/>
          <w:szCs w:val="26"/>
        </w:rPr>
        <w:t xml:space="preserve">5.3 DNS Agent Deployment</w:t>
      </w:r>
    </w:p>
    <w:p>
      <w:pPr>
        <w:spacing w:after="160"/>
      </w:pPr>
      <w:r>
        <w:rPr>
          <w:rFonts w:ascii="Arial" w:cs="Arial" w:eastAsia="Arial" w:hAnsi="Arial"/>
          <w:color w:val="333333"/>
          <w:sz w:val="22"/>
          <w:szCs w:val="22"/>
        </w:rPr>
        <w:t xml:space="preserve">Three deployment models, configurable per tenant:</w:t>
      </w:r>
    </w:p>
    <w:p>
      <w:pPr>
        <w:pStyle w:val="ListParagraph"/>
        <w:numPr>
          <w:ilvl w:val="0"/>
          <w:numId w:val="2"/>
        </w:numPr>
        <w:spacing w:after="80"/>
      </w:pPr>
      <w:r>
        <w:rPr>
          <w:rFonts w:ascii="Arial" w:cs="Arial" w:eastAsia="Arial" w:hAnsi="Arial"/>
          <w:b/>
          <w:bCs/>
          <w:color w:val="333333"/>
          <w:sz w:val="22"/>
          <w:szCs w:val="22"/>
        </w:rPr>
        <w:t xml:space="preserve">WARP Client (Cloudflare’s native agent): </w:t>
      </w:r>
      <w:r>
        <w:rPr>
          <w:rFonts w:ascii="Arial" w:cs="Arial" w:eastAsia="Arial" w:hAnsi="Arial"/>
          <w:color w:val="333333"/>
          <w:sz w:val="22"/>
          <w:szCs w:val="22"/>
        </w:rPr>
        <w:t xml:space="preserve">Full tunnel mode with DNS filtering. Provides the most complete protection including encrypted DNS and network-level controls. Deployed via RMM.</w:t>
      </w:r>
    </w:p>
    <w:p>
      <w:pPr>
        <w:pStyle w:val="ListParagraph"/>
        <w:numPr>
          <w:ilvl w:val="0"/>
          <w:numId w:val="2"/>
        </w:numPr>
        <w:spacing w:after="80"/>
      </w:pPr>
      <w:r>
        <w:rPr>
          <w:rFonts w:ascii="Arial" w:cs="Arial" w:eastAsia="Arial" w:hAnsi="Arial"/>
          <w:b/>
          <w:bCs/>
          <w:color w:val="333333"/>
          <w:sz w:val="22"/>
          <w:szCs w:val="22"/>
        </w:rPr>
        <w:t xml:space="preserve">DoH Configuration via MDM: </w:t>
      </w:r>
      <w:r>
        <w:rPr>
          <w:rFonts w:ascii="Arial" w:cs="Arial" w:eastAsia="Arial" w:hAnsi="Arial"/>
          <w:color w:val="333333"/>
          <w:sz w:val="22"/>
          <w:szCs w:val="22"/>
        </w:rPr>
        <w:t xml:space="preserve">Set system DNS-over-HTTPS resolver to the tenant’s Cloudflare Gateway DoH endpoint via Intune, Jamf, or RMM script. Lighter weight than WARP, DNS-only.</w:t>
      </w:r>
    </w:p>
    <w:p>
      <w:pPr>
        <w:pStyle w:val="ListParagraph"/>
        <w:numPr>
          <w:ilvl w:val="0"/>
          <w:numId w:val="2"/>
        </w:numPr>
        <w:spacing w:after="80"/>
      </w:pPr>
      <w:r>
        <w:rPr>
          <w:rFonts w:ascii="Arial" w:cs="Arial" w:eastAsia="Arial" w:hAnsi="Arial"/>
          <w:b/>
          <w:bCs/>
          <w:color w:val="333333"/>
          <w:sz w:val="22"/>
          <w:szCs w:val="22"/>
        </w:rPr>
        <w:t xml:space="preserve">Router-Level (Site deployments): </w:t>
      </w:r>
      <w:r>
        <w:rPr>
          <w:rFonts w:ascii="Arial" w:cs="Arial" w:eastAsia="Arial" w:hAnsi="Arial"/>
          <w:color w:val="333333"/>
          <w:sz w:val="22"/>
          <w:szCs w:val="22"/>
        </w:rPr>
        <w:t xml:space="preserve">For ASC sites and offices with managed firewalls (e.g., Meraki MX), configure the firewall’s upstream DNS to point to Cloudflare Gateway. Protects all devices on the network without per-device agents.</w:t>
      </w:r>
    </w:p>
    <w:p>
      <w:r>
        <w:br w:type="page"/>
      </w:r>
    </w:p>
    <w:p>
      <w:pPr>
        <w:pStyle w:val="Heading1"/>
        <w:spacing w:after="200" w:before="360"/>
      </w:pPr>
      <w:r>
        <w:rPr>
          <w:rFonts w:ascii="Arial" w:cs="Arial" w:eastAsia="Arial" w:hAnsi="Arial"/>
          <w:b/>
          <w:bCs/>
          <w:color w:val="2E5090"/>
          <w:sz w:val="32"/>
          <w:szCs w:val="32"/>
        </w:rPr>
        <w:t xml:space="preserve">6. Backend Services</w:t>
      </w:r>
    </w:p>
    <w:p>
      <w:pPr>
        <w:pStyle w:val="Heading2"/>
        <w:spacing w:after="160" w:before="280"/>
      </w:pPr>
      <w:r>
        <w:rPr>
          <w:rFonts w:ascii="Arial" w:cs="Arial" w:eastAsia="Arial" w:hAnsi="Arial"/>
          <w:b/>
          <w:bCs/>
          <w:color w:val="1A1A1A"/>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Node 20 + Express 5</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Persistent server on Railway (not serverless)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TypeScript 5.6+</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Strict mode, Cavaridge monorepo standards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Supabase (Postgres 15+)</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RLS at every layer; pgvector for ML features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Type-safe, migration-based</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Queue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BullMQ + Redis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Async event processing, alerting, report generation</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Secrets</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Doppler</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No plaintext keys; env-tier separation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LLM Routing</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Spaniel (CVG-AI) via OpenRouter</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Master Cavaridge key; task-type-based model selection</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Observability</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Langfuse (self-hosted)</w:t>
            </w:r>
          </w:p>
        </w:tc>
        <w:tc>
          <w:tcPr>
            <w:tcW w:type="dxa" w:w="4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LLM call tracing and cost tracking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Railway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Persistent Express servers; auto-deploy from GitHub</w:t>
            </w:r>
          </w:p>
        </w:tc>
      </w:tr>
    </w:tbl>
    <w:p>
      <w:pPr>
        <w:pStyle w:val="Heading2"/>
        <w:spacing w:after="160" w:before="280"/>
      </w:pPr>
      <w:r>
        <w:rPr>
          <w:rFonts w:ascii="Arial" w:cs="Arial" w:eastAsia="Arial" w:hAnsi="Arial"/>
          <w:b/>
          <w:bCs/>
          <w:color w:val="1A1A1A"/>
          <w:sz w:val="26"/>
          <w:szCs w:val="26"/>
        </w:rPr>
        <w:t xml:space="preserve">6.2 API Surface</w:t>
      </w:r>
    </w:p>
    <w:p>
      <w:pPr>
        <w:spacing w:after="160"/>
      </w:pPr>
      <w:r>
        <w:rPr>
          <w:rFonts w:ascii="Arial" w:cs="Arial" w:eastAsia="Arial" w:hAnsi="Arial"/>
          <w:color w:val="333333"/>
          <w:sz w:val="22"/>
          <w:szCs w:val="22"/>
        </w:rPr>
        <w:t xml:space="preserve">The AEGIS API serves three consumer classes: the browser extension, the Cloudflare Gateway integration, and the dashboard frontend.</w:t>
      </w:r>
    </w:p>
    <w:p>
      <w:pPr>
        <w:pStyle w:val="Heading3"/>
        <w:spacing w:after="120" w:before="200"/>
      </w:pPr>
      <w:r>
        <w:rPr>
          <w:rFonts w:ascii="Arial" w:cs="Arial" w:eastAsia="Arial" w:hAnsi="Arial"/>
          <w:b/>
          <w:bCs/>
          <w:color w:val="1A1A1A"/>
          <w:sz w:val="24"/>
          <w:szCs w:val="24"/>
        </w:rPr>
        <w:t xml:space="preserve">6.2.1 Extension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1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/api/v1/enroll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Device enrollment; returns device_id, tenant_id, initial policy</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/api/v1/policy</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Fetch current policy document for device’s tenant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/api/v1/telemetry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Ingest batched telemetry events</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/api/v1/credential-check</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HIBP k-anonymity check for credential hash prefix</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/api/v1/override-request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User requests policy override; creates approval queue item</w:t>
            </w:r>
          </w:p>
        </w:tc>
      </w:tr>
    </w:tbl>
    <w:p>
      <w:pPr>
        <w:pStyle w:val="Heading3"/>
        <w:spacing w:after="120" w:before="200"/>
      </w:pPr>
      <w:r>
        <w:rPr>
          <w:rFonts w:ascii="Arial" w:cs="Arial" w:eastAsia="Arial" w:hAnsi="Arial"/>
          <w:b/>
          <w:bCs/>
          <w:color w:val="1A1A1A"/>
          <w:sz w:val="24"/>
          <w:szCs w:val="24"/>
        </w:rPr>
        <w:t xml:space="preserve">6.2.2 Dashboard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/api/v1/tenants/:id/policies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Read and update tenant browser security policies</w:t>
            </w:r>
          </w:p>
        </w:tc>
      </w:tr>
      <w:tr>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/api/v1/tenants/:id/devices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List enrolled devices with status and last-seen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/api/v1/tenants/:id/saas-inventory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SaaS app discovery results with sanction status</w:t>
            </w:r>
          </w:p>
        </w:tc>
      </w:tr>
      <w:tr>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/api/v1/tenants/:id/alerts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Credential breaches, DLP incidents, phishing detections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/api/v1/tenants/:id/score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Adjusted Score with component breakdown</w:t>
            </w:r>
          </w:p>
        </w:tc>
      </w:tr>
      <w:tr>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/api/v1/tenants/:id/reports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GET/POST</w:t>
            </w:r>
          </w:p>
        </w:tc>
        <w:tc>
          <w:tcPr>
            <w:tcW w:type="dxa" w:w="4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Generate and retrieve PDF/DOCX security reports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/api/v1/tenants/:id/dns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DNS filtering configuration (proxied to Cloudflare API)</w:t>
            </w:r>
          </w:p>
        </w:tc>
      </w:tr>
      <w:tr>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/api/v1/overrides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4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Override approval queue for MSP admins</w:t>
            </w:r>
          </w:p>
        </w:tc>
      </w:tr>
    </w:tbl>
    <w:p>
      <w:pPr>
        <w:pStyle w:val="Heading2"/>
        <w:spacing w:after="160" w:before="280"/>
      </w:pPr>
      <w:r>
        <w:rPr>
          <w:rFonts w:ascii="Arial" w:cs="Arial" w:eastAsia="Arial" w:hAnsi="Arial"/>
          <w:b/>
          <w:bCs/>
          <w:color w:val="1A1A1A"/>
          <w:sz w:val="26"/>
          <w:szCs w:val="26"/>
        </w:rPr>
        <w:t xml:space="preserve">6.3 Cavaridge Adjusted Score</w:t>
      </w:r>
    </w:p>
    <w:p>
      <w:pPr>
        <w:spacing w:after="160"/>
      </w:pPr>
      <w:r>
        <w:rPr>
          <w:rFonts w:ascii="Arial" w:cs="Arial" w:eastAsia="Arial" w:hAnsi="Arial"/>
          <w:color w:val="333333"/>
          <w:sz w:val="22"/>
          <w:szCs w:val="22"/>
        </w:rPr>
        <w:t xml:space="preserve">The Cavaridge Adjusted Score is the platform’s signature differentiator. It produces a 0–100 composite security posture score by weighting inputs from multiple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Source</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1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Origin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Microsoft Secure Score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Microsoft Graph API</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Google Workspace Security Health</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Google Admin SDK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Browser Security Compliance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20%</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AEGIS extension telemetry (config checks, policy adherence)</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Credential Hygiene</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HIBP breach data, credential reuse detection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DNS Filtering Compliance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Cloudflare Gateway logs (bypass attempts, block rates)</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SaaS Shadow IT Risk</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SaaS discovery telemetry (unsanctioned app count/usage)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Compensating Controls Bonus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+5 max</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SentinelOne, Duo MFA, Proofpoint presence confirmed</w:t>
            </w:r>
          </w:p>
        </w:tc>
      </w:tr>
    </w:tbl>
    <w:p>
      <w:pPr>
        <w:spacing w:after="160"/>
      </w:pPr>
      <w:r>
        <w:rPr>
          <w:rFonts w:ascii="Arial" w:cs="Arial" w:eastAsia="Arial" w:hAnsi="Arial"/>
          <w:color w:val="333333"/>
          <w:sz w:val="22"/>
          <w:szCs w:val="22"/>
        </w:rPr>
        <w:t xml:space="preserve">Weights are configurable per MSP tenant to reflect their security priorities. Default weights shown above are tuned for the SMB MSP client profile.</w:t>
      </w:r>
    </w:p>
    <w:p>
      <w:r>
        <w:br w:type="page"/>
      </w:r>
    </w:p>
    <w:p>
      <w:pPr>
        <w:pStyle w:val="Heading1"/>
        <w:spacing w:after="200" w:before="360"/>
      </w:pPr>
      <w:r>
        <w:rPr>
          <w:rFonts w:ascii="Arial" w:cs="Arial" w:eastAsia="Arial" w:hAnsi="Arial"/>
          <w:b/>
          <w:bCs/>
          <w:color w:val="2E5090"/>
          <w:sz w:val="32"/>
          <w:szCs w:val="32"/>
        </w:rPr>
        <w:t xml:space="preserve">7. Dashboard &amp; Reporting</w:t>
      </w:r>
    </w:p>
    <w:p>
      <w:pPr>
        <w:pStyle w:val="Heading2"/>
        <w:spacing w:after="160" w:before="280"/>
      </w:pPr>
      <w:r>
        <w:rPr>
          <w:rFonts w:ascii="Arial" w:cs="Arial" w:eastAsia="Arial" w:hAnsi="Arial"/>
          <w:b/>
          <w:bCs/>
          <w:color w:val="1A1A1A"/>
          <w:sz w:val="26"/>
          <w:szCs w:val="26"/>
        </w:rPr>
        <w:t xml:space="preserve">7.1 Portal Tiers</w:t>
      </w:r>
    </w:p>
    <w:p>
      <w:pPr>
        <w:spacing w:after="160"/>
      </w:pPr>
      <w:r>
        <w:rPr>
          <w:rFonts w:ascii="Arial" w:cs="Arial" w:eastAsia="Arial" w:hAnsi="Arial"/>
          <w:color w:val="333333"/>
          <w:sz w:val="22"/>
          <w:szCs w:val="22"/>
        </w:rPr>
        <w:t xml:space="preserve">The dashboard serves three distinct user tiers, each with appropriate data visibility enforced by Supabase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Portal</w:t>
            </w:r>
          </w:p>
        </w:tc>
        <w:tc>
          <w:tcPr>
            <w:tcW w:type="dxa" w:w="2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Users</w:t>
            </w:r>
          </w:p>
        </w:tc>
        <w:tc>
          <w:tcPr>
            <w:tcW w:type="dxa" w:w="4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Platform Admin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internal</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Global system health, MSP onboarding, feature flags, billing</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MSP Portal</w:t>
            </w:r>
          </w:p>
        </w:tc>
        <w:tc>
          <w:tcPr>
            <w:tcW w:type="dxa" w:w="2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MSP technicians and vCIOs</w:t>
            </w:r>
          </w:p>
        </w:tc>
        <w:tc>
          <w:tcPr>
            <w:tcW w:type="dxa" w:w="4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All client tenants; policy management; cross-client reporting; override approvals; Cavaridge Adjusted Score benchmarks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Client Portal</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End-client IT contacts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Own-tenant view only; device status; SaaS usage; security score; alert history; override requests</w:t>
            </w:r>
          </w:p>
        </w:tc>
      </w:tr>
    </w:tbl>
    <w:p>
      <w:pPr>
        <w:pStyle w:val="Heading2"/>
        <w:spacing w:after="160" w:before="280"/>
      </w:pPr>
      <w:r>
        <w:rPr>
          <w:rFonts w:ascii="Arial" w:cs="Arial" w:eastAsia="Arial" w:hAnsi="Arial"/>
          <w:b/>
          <w:bCs/>
          <w:color w:val="1A1A1A"/>
          <w:sz w:val="26"/>
          <w:szCs w:val="26"/>
        </w:rPr>
        <w:t xml:space="preserve">7.2 Key Dashboard Views</w:t>
      </w:r>
    </w:p>
    <w:p>
      <w:pPr>
        <w:pStyle w:val="ListParagraph"/>
        <w:numPr>
          <w:ilvl w:val="0"/>
          <w:numId w:val="2"/>
        </w:numPr>
        <w:spacing w:after="80"/>
      </w:pPr>
      <w:r>
        <w:rPr>
          <w:rFonts w:ascii="Arial" w:cs="Arial" w:eastAsia="Arial" w:hAnsi="Arial"/>
          <w:b/>
          <w:bCs/>
          <w:color w:val="333333"/>
          <w:sz w:val="22"/>
          <w:szCs w:val="22"/>
        </w:rPr>
        <w:t xml:space="preserve">Security Posture Overview: </w:t>
      </w:r>
      <w:r>
        <w:rPr>
          <w:rFonts w:ascii="Arial" w:cs="Arial" w:eastAsia="Arial" w:hAnsi="Arial"/>
          <w:color w:val="333333"/>
          <w:sz w:val="22"/>
          <w:szCs w:val="22"/>
        </w:rPr>
        <w:t xml:space="preserve">Cavaridge Adjusted Score gauge, trend line, component breakdown, peer benchmarking (anonymized cross-tenant comparison).</w:t>
      </w:r>
    </w:p>
    <w:p>
      <w:pPr>
        <w:pStyle w:val="ListParagraph"/>
        <w:numPr>
          <w:ilvl w:val="0"/>
          <w:numId w:val="2"/>
        </w:numPr>
        <w:spacing w:after="80"/>
      </w:pPr>
      <w:r>
        <w:rPr>
          <w:rFonts w:ascii="Arial" w:cs="Arial" w:eastAsia="Arial" w:hAnsi="Arial"/>
          <w:b/>
          <w:bCs/>
          <w:color w:val="333333"/>
          <w:sz w:val="22"/>
          <w:szCs w:val="22"/>
        </w:rPr>
        <w:t xml:space="preserve">SaaS App Inventory: </w:t>
      </w:r>
      <w:r>
        <w:rPr>
          <w:rFonts w:ascii="Arial" w:cs="Arial" w:eastAsia="Arial" w:hAnsi="Arial"/>
          <w:color w:val="333333"/>
          <w:sz w:val="22"/>
          <w:szCs w:val="22"/>
        </w:rPr>
        <w:t xml:space="preserve">Discovered applications with sanction status, user count, data classification risk, login method (SSO vs. direct credentials).</w:t>
      </w:r>
    </w:p>
    <w:p>
      <w:pPr>
        <w:pStyle w:val="ListParagraph"/>
        <w:numPr>
          <w:ilvl w:val="0"/>
          <w:numId w:val="2"/>
        </w:numPr>
        <w:spacing w:after="80"/>
      </w:pPr>
      <w:r>
        <w:rPr>
          <w:rFonts w:ascii="Arial" w:cs="Arial" w:eastAsia="Arial" w:hAnsi="Arial"/>
          <w:b/>
          <w:bCs/>
          <w:color w:val="333333"/>
          <w:sz w:val="22"/>
          <w:szCs w:val="22"/>
        </w:rPr>
        <w:t xml:space="preserve">Credential Risk: </w:t>
      </w:r>
      <w:r>
        <w:rPr>
          <w:rFonts w:ascii="Arial" w:cs="Arial" w:eastAsia="Arial" w:hAnsi="Arial"/>
          <w:color w:val="333333"/>
          <w:sz w:val="22"/>
          <w:szCs w:val="22"/>
        </w:rPr>
        <w:t xml:space="preserve">Breached credentials by user, credential reuse map, password age distribution, MFA adoption rate.</w:t>
      </w:r>
    </w:p>
    <w:p>
      <w:pPr>
        <w:pStyle w:val="ListParagraph"/>
        <w:numPr>
          <w:ilvl w:val="0"/>
          <w:numId w:val="2"/>
        </w:numPr>
        <w:spacing w:after="80"/>
      </w:pPr>
      <w:r>
        <w:rPr>
          <w:rFonts w:ascii="Arial" w:cs="Arial" w:eastAsia="Arial" w:hAnsi="Arial"/>
          <w:b/>
          <w:bCs/>
          <w:color w:val="333333"/>
          <w:sz w:val="22"/>
          <w:szCs w:val="22"/>
        </w:rPr>
        <w:t xml:space="preserve">DLP Incidents: </w:t>
      </w:r>
      <w:r>
        <w:rPr>
          <w:rFonts w:ascii="Arial" w:cs="Arial" w:eastAsia="Arial" w:hAnsi="Arial"/>
          <w:color w:val="333333"/>
          <w:sz w:val="22"/>
          <w:szCs w:val="22"/>
        </w:rPr>
        <w:t xml:space="preserve">File upload/download blocks, clipboard events, policy violation timeline.</w:t>
      </w:r>
    </w:p>
    <w:p>
      <w:pPr>
        <w:pStyle w:val="ListParagraph"/>
        <w:numPr>
          <w:ilvl w:val="0"/>
          <w:numId w:val="2"/>
        </w:numPr>
        <w:spacing w:after="80"/>
      </w:pPr>
      <w:r>
        <w:rPr>
          <w:rFonts w:ascii="Arial" w:cs="Arial" w:eastAsia="Arial" w:hAnsi="Arial"/>
          <w:b/>
          <w:bCs/>
          <w:color w:val="333333"/>
          <w:sz w:val="22"/>
          <w:szCs w:val="22"/>
        </w:rPr>
        <w:t xml:space="preserve">Browsing Security: </w:t>
      </w:r>
      <w:r>
        <w:rPr>
          <w:rFonts w:ascii="Arial" w:cs="Arial" w:eastAsia="Arial" w:hAnsi="Arial"/>
          <w:color w:val="333333"/>
          <w:sz w:val="22"/>
          <w:szCs w:val="22"/>
        </w:rPr>
        <w:t xml:space="preserve">Phishing detections, malware blocks, DNS filtering statistics, category breakdown.</w:t>
      </w:r>
    </w:p>
    <w:p>
      <w:pPr>
        <w:pStyle w:val="ListParagraph"/>
        <w:numPr>
          <w:ilvl w:val="0"/>
          <w:numId w:val="2"/>
        </w:numPr>
        <w:spacing w:after="80"/>
      </w:pPr>
      <w:r>
        <w:rPr>
          <w:rFonts w:ascii="Arial" w:cs="Arial" w:eastAsia="Arial" w:hAnsi="Arial"/>
          <w:b/>
          <w:bCs/>
          <w:color w:val="333333"/>
          <w:sz w:val="22"/>
          <w:szCs w:val="22"/>
        </w:rPr>
        <w:t xml:space="preserve">Device Compliance: </w:t>
      </w:r>
      <w:r>
        <w:rPr>
          <w:rFonts w:ascii="Arial" w:cs="Arial" w:eastAsia="Arial" w:hAnsi="Arial"/>
          <w:color w:val="333333"/>
          <w:sz w:val="22"/>
          <w:szCs w:val="22"/>
        </w:rPr>
        <w:t xml:space="preserve">Extension installed, policy version current, browser auto-update enabled, Safe Browsing active.</w:t>
      </w:r>
    </w:p>
    <w:p>
      <w:pPr>
        <w:pStyle w:val="ListParagraph"/>
        <w:numPr>
          <w:ilvl w:val="0"/>
          <w:numId w:val="2"/>
        </w:numPr>
        <w:spacing w:after="80"/>
      </w:pPr>
      <w:r>
        <w:rPr>
          <w:rFonts w:ascii="Arial" w:cs="Arial" w:eastAsia="Arial" w:hAnsi="Arial"/>
          <w:b/>
          <w:bCs/>
          <w:color w:val="333333"/>
          <w:sz w:val="22"/>
          <w:szCs w:val="22"/>
        </w:rPr>
        <w:t xml:space="preserve">Productivity Insights: </w:t>
      </w:r>
      <w:r>
        <w:rPr>
          <w:rFonts w:ascii="Arial" w:cs="Arial" w:eastAsia="Arial" w:hAnsi="Arial"/>
          <w:color w:val="333333"/>
          <w:sz w:val="22"/>
          <w:szCs w:val="22"/>
        </w:rPr>
        <w:t xml:space="preserve">App usage time by category, top applications, usage trends (opt-in per tenant, privacy-first design).</w:t>
      </w:r>
    </w:p>
    <w:p>
      <w:pPr>
        <w:pStyle w:val="Heading2"/>
        <w:spacing w:after="160" w:before="280"/>
      </w:pPr>
      <w:r>
        <w:rPr>
          <w:rFonts w:ascii="Arial" w:cs="Arial" w:eastAsia="Arial" w:hAnsi="Arial"/>
          <w:b/>
          <w:bCs/>
          <w:color w:val="1A1A1A"/>
          <w:sz w:val="26"/>
          <w:szCs w:val="26"/>
        </w:rPr>
        <w:t xml:space="preserve">7.3 Reporting</w:t>
      </w:r>
    </w:p>
    <w:p>
      <w:pPr>
        <w:spacing w:after="160"/>
      </w:pPr>
      <w:r>
        <w:rPr>
          <w:rFonts w:ascii="Arial" w:cs="Arial" w:eastAsia="Arial" w:hAnsi="Arial"/>
          <w:color w:val="333333"/>
          <w:sz w:val="22"/>
          <w:szCs w:val="22"/>
        </w:rPr>
        <w:t xml:space="preserve">Automated report generation via BullMQ scheduled jobs. Reports are tenant-branded (client logo, MSP logo, Ducky Intelligence footer) and available as PDF or DOCX:</w:t>
      </w:r>
    </w:p>
    <w:p>
      <w:pPr>
        <w:pStyle w:val="ListParagraph"/>
        <w:numPr>
          <w:ilvl w:val="0"/>
          <w:numId w:val="2"/>
        </w:numPr>
        <w:spacing w:after="80"/>
      </w:pPr>
      <w:r>
        <w:rPr>
          <w:rFonts w:ascii="Arial" w:cs="Arial" w:eastAsia="Arial" w:hAnsi="Arial"/>
          <w:color w:val="333333"/>
          <w:sz w:val="22"/>
          <w:szCs w:val="22"/>
        </w:rPr>
        <w:t xml:space="preserve">Monthly Security Posture Report (Cavaridge Adjusted Score + trends + recommendations)</w:t>
      </w:r>
    </w:p>
    <w:p>
      <w:pPr>
        <w:pStyle w:val="ListParagraph"/>
        <w:numPr>
          <w:ilvl w:val="0"/>
          <w:numId w:val="2"/>
        </w:numPr>
        <w:spacing w:after="80"/>
      </w:pPr>
      <w:r>
        <w:rPr>
          <w:rFonts w:ascii="Arial" w:cs="Arial" w:eastAsia="Arial" w:hAnsi="Arial"/>
          <w:color w:val="333333"/>
          <w:sz w:val="22"/>
          <w:szCs w:val="22"/>
        </w:rPr>
        <w:t xml:space="preserve">SaaS Shadow IT Report (newly discovered apps, risk classification)</w:t>
      </w:r>
    </w:p>
    <w:p>
      <w:pPr>
        <w:pStyle w:val="ListParagraph"/>
        <w:numPr>
          <w:ilvl w:val="0"/>
          <w:numId w:val="2"/>
        </w:numPr>
        <w:spacing w:after="80"/>
      </w:pPr>
      <w:r>
        <w:rPr>
          <w:rFonts w:ascii="Arial" w:cs="Arial" w:eastAsia="Arial" w:hAnsi="Arial"/>
          <w:color w:val="333333"/>
          <w:sz w:val="22"/>
          <w:szCs w:val="22"/>
        </w:rPr>
        <w:t xml:space="preserve">Credential Risk Report (breach summary, remediation status)</w:t>
      </w:r>
    </w:p>
    <w:p>
      <w:pPr>
        <w:pStyle w:val="ListParagraph"/>
        <w:numPr>
          <w:ilvl w:val="0"/>
          <w:numId w:val="2"/>
        </w:numPr>
        <w:spacing w:after="80"/>
      </w:pPr>
      <w:r>
        <w:rPr>
          <w:rFonts w:ascii="Arial" w:cs="Arial" w:eastAsia="Arial" w:hAnsi="Arial"/>
          <w:color w:val="333333"/>
          <w:sz w:val="22"/>
          <w:szCs w:val="22"/>
        </w:rPr>
        <w:t xml:space="preserve">QBR Data Package (comprehensive quarterly business review export for MSP sales meetings)</w:t>
      </w:r>
    </w:p>
    <w:p>
      <w:r>
        <w:br w:type="page"/>
      </w:r>
    </w:p>
    <w:p>
      <w:pPr>
        <w:pStyle w:val="Heading1"/>
        <w:spacing w:after="200" w:before="360"/>
      </w:pPr>
      <w:r>
        <w:rPr>
          <w:rFonts w:ascii="Arial" w:cs="Arial" w:eastAsia="Arial" w:hAnsi="Arial"/>
          <w:b/>
          <w:bCs/>
          <w:color w:val="2E5090"/>
          <w:sz w:val="32"/>
          <w:szCs w:val="32"/>
        </w:rPr>
        <w:t xml:space="preserve">8. Multi-Tenant Architecture</w:t>
      </w:r>
    </w:p>
    <w:p>
      <w:pPr>
        <w:pStyle w:val="Heading2"/>
        <w:spacing w:after="160" w:before="280"/>
      </w:pPr>
      <w:r>
        <w:rPr>
          <w:rFonts w:ascii="Arial" w:cs="Arial" w:eastAsia="Arial" w:hAnsi="Arial"/>
          <w:b/>
          <w:bCs/>
          <w:color w:val="1A1A1A"/>
          <w:sz w:val="26"/>
          <w:szCs w:val="26"/>
        </w:rPr>
        <w:t xml:space="preserve">8.1 Tenant Hierarchy</w:t>
      </w:r>
    </w:p>
    <w:p>
      <w:pPr>
        <w:spacing w:after="160"/>
      </w:pPr>
      <w:r>
        <w:rPr>
          <w:rFonts w:ascii="Arial" w:cs="Arial" w:eastAsia="Arial" w:hAnsi="Arial"/>
          <w:color w:val="333333"/>
          <w:sz w:val="22"/>
          <w:szCs w:val="22"/>
        </w:rPr>
        <w:t xml:space="preserve">AEGIS inherits the Cavaridge Universal Tenant Model, a 4-tier self-referencing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4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LLC</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System owner; global config; billing</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MSP</w:t>
            </w:r>
          </w:p>
        </w:tc>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Dedicated IT, LLC</w:t>
            </w:r>
          </w:p>
        </w:tc>
        <w:tc>
          <w:tcPr>
            <w:tcW w:type="dxa" w:w="4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Manages multiple client tenants; sets baseline policies; views cross-client analytics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Compass Surgical Partners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Organization-level policies; user management; SaaS inventory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Site / Prospect</w:t>
            </w:r>
          </w:p>
        </w:tc>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West Texas Surgical Institute</w:t>
            </w:r>
          </w:p>
        </w:tc>
        <w:tc>
          <w:tcPr>
            <w:tcW w:type="dxa" w:w="4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Location-specific policy overrides; site-level DNS config; prospect scan results</w:t>
            </w:r>
          </w:p>
        </w:tc>
      </w:tr>
    </w:tbl>
    <w:p>
      <w:pPr>
        <w:pStyle w:val="Heading2"/>
        <w:spacing w:after="160" w:before="280"/>
      </w:pPr>
      <w:r>
        <w:rPr>
          <w:rFonts w:ascii="Arial" w:cs="Arial" w:eastAsia="Arial" w:hAnsi="Arial"/>
          <w:b/>
          <w:bCs/>
          <w:color w:val="1A1A1A"/>
          <w:sz w:val="26"/>
          <w:szCs w:val="26"/>
        </w:rPr>
        <w:t xml:space="preserve">8.2 RLS Enforcement</w:t>
      </w:r>
    </w:p>
    <w:p>
      <w:pPr>
        <w:spacing w:after="160"/>
      </w:pPr>
      <w:r>
        <w:rPr>
          <w:rFonts w:ascii="Arial" w:cs="Arial" w:eastAsia="Arial" w:hAnsi="Arial"/>
          <w:color w:val="333333"/>
          <w:sz w:val="22"/>
          <w:szCs w:val="22"/>
        </w:rPr>
        <w:t xml:space="preserve">Every database query passes through Supabase Row Level Security policies keyed to the authenticated user’s tenant_id and role. The RLS chain ensures:</w:t>
      </w:r>
    </w:p>
    <w:p>
      <w:pPr>
        <w:pStyle w:val="ListParagraph"/>
        <w:numPr>
          <w:ilvl w:val="0"/>
          <w:numId w:val="2"/>
        </w:numPr>
        <w:spacing w:after="80"/>
      </w:pPr>
      <w:r>
        <w:rPr>
          <w:rFonts w:ascii="Arial" w:cs="Arial" w:eastAsia="Arial" w:hAnsi="Arial"/>
          <w:color w:val="333333"/>
          <w:sz w:val="22"/>
          <w:szCs w:val="22"/>
        </w:rPr>
        <w:t xml:space="preserve">Platform admins see all data across all MSP tenants.</w:t>
      </w:r>
    </w:p>
    <w:p>
      <w:pPr>
        <w:pStyle w:val="ListParagraph"/>
        <w:numPr>
          <w:ilvl w:val="0"/>
          <w:numId w:val="2"/>
        </w:numPr>
        <w:spacing w:after="80"/>
      </w:pPr>
      <w:r>
        <w:rPr>
          <w:rFonts w:ascii="Arial" w:cs="Arial" w:eastAsia="Arial" w:hAnsi="Arial"/>
          <w:color w:val="333333"/>
          <w:sz w:val="22"/>
          <w:szCs w:val="22"/>
        </w:rPr>
        <w:t xml:space="preserve">MSP users see data for their own MSP tenant and all child client/site tenants.</w:t>
      </w:r>
    </w:p>
    <w:p>
      <w:pPr>
        <w:pStyle w:val="ListParagraph"/>
        <w:numPr>
          <w:ilvl w:val="0"/>
          <w:numId w:val="2"/>
        </w:numPr>
        <w:spacing w:after="80"/>
      </w:pPr>
      <w:r>
        <w:rPr>
          <w:rFonts w:ascii="Arial" w:cs="Arial" w:eastAsia="Arial" w:hAnsi="Arial"/>
          <w:color w:val="333333"/>
          <w:sz w:val="22"/>
          <w:szCs w:val="22"/>
        </w:rPr>
        <w:t xml:space="preserve">Client users see data for their own client tenant and child site tenants only.</w:t>
      </w:r>
    </w:p>
    <w:p>
      <w:pPr>
        <w:pStyle w:val="ListParagraph"/>
        <w:numPr>
          <w:ilvl w:val="0"/>
          <w:numId w:val="2"/>
        </w:numPr>
        <w:spacing w:after="80"/>
      </w:pPr>
      <w:r>
        <w:rPr>
          <w:rFonts w:ascii="Arial" w:cs="Arial" w:eastAsia="Arial" w:hAnsi="Arial"/>
          <w:color w:val="333333"/>
          <w:sz w:val="22"/>
          <w:szCs w:val="22"/>
        </w:rPr>
        <w:t xml:space="preserve">Site users see only their own site data.</w:t>
      </w:r>
    </w:p>
    <w:p>
      <w:pPr>
        <w:pStyle w:val="ListParagraph"/>
        <w:numPr>
          <w:ilvl w:val="0"/>
          <w:numId w:val="2"/>
        </w:numPr>
        <w:spacing w:after="80"/>
      </w:pPr>
      <w:r>
        <w:rPr>
          <w:rFonts w:ascii="Arial" w:cs="Arial" w:eastAsia="Arial" w:hAnsi="Arial"/>
          <w:color w:val="333333"/>
          <w:sz w:val="22"/>
          <w:szCs w:val="22"/>
        </w:rPr>
        <w:t xml:space="preserve">Extension telemetry is written with the device’s tenant_id and is immediately RLS-scoped.</w:t>
      </w:r>
    </w:p>
    <w:p>
      <w:pPr>
        <w:pStyle w:val="Heading2"/>
        <w:spacing w:after="160" w:before="280"/>
      </w:pPr>
      <w:r>
        <w:rPr>
          <w:rFonts w:ascii="Arial" w:cs="Arial" w:eastAsia="Arial" w:hAnsi="Arial"/>
          <w:b/>
          <w:bCs/>
          <w:color w:val="1A1A1A"/>
          <w:sz w:val="26"/>
          <w:szCs w:val="26"/>
        </w:rPr>
        <w:t xml:space="preserve">8.3 RBAC</w:t>
      </w:r>
    </w:p>
    <w:p>
      <w:pPr>
        <w:spacing w:after="160"/>
      </w:pPr>
      <w:r>
        <w:rPr>
          <w:rFonts w:ascii="Arial" w:cs="Arial" w:eastAsia="Arial" w:hAnsi="Arial"/>
          <w:color w:val="333333"/>
          <w:sz w:val="22"/>
          <w:szCs w:val="22"/>
        </w:rPr>
        <w:t xml:space="preserve">Six standard Cavaridge roles, enforced at data, API, and UI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61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Permissions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platform_admin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Full system access; MSP onboarding; feature flags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msp_admin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MSP</w:t>
            </w:r>
          </w:p>
        </w:tc>
        <w:tc>
          <w:tcPr>
            <w:tcW w:type="dxa" w:w="6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All clients; policy management; override approvals; reporting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msp_technician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MSP</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Assigned clients; device management; alert triage</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client_admin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6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Own tenant; user management; policy viewing; override requests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client_user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Own data; view security score; submit override requests</w:t>
            </w:r>
          </w:p>
        </w:tc>
      </w:tr>
      <w:tr>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site_user</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Site</w:t>
            </w:r>
          </w:p>
        </w:tc>
        <w:tc>
          <w:tcPr>
            <w:tcW w:type="dxa" w:w="6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Site-scoped data only; read-only views</w:t>
            </w:r>
          </w:p>
        </w:tc>
      </w:tr>
    </w:tbl>
    <w:p>
      <w:r>
        <w:br w:type="page"/>
      </w:r>
    </w:p>
    <w:p>
      <w:pPr>
        <w:pStyle w:val="Heading1"/>
        <w:spacing w:after="200" w:before="360"/>
      </w:pPr>
      <w:r>
        <w:rPr>
          <w:rFonts w:ascii="Arial" w:cs="Arial" w:eastAsia="Arial" w:hAnsi="Arial"/>
          <w:b/>
          <w:bCs/>
          <w:color w:val="2E5090"/>
          <w:sz w:val="32"/>
          <w:szCs w:val="32"/>
        </w:rPr>
        <w:t xml:space="preserve">9. Security &amp; Privacy Considerations</w:t>
      </w:r>
    </w:p>
    <w:p>
      <w:pPr>
        <w:pStyle w:val="Heading2"/>
        <w:spacing w:after="160" w:before="280"/>
      </w:pPr>
      <w:r>
        <w:rPr>
          <w:rFonts w:ascii="Arial" w:cs="Arial" w:eastAsia="Arial" w:hAnsi="Arial"/>
          <w:b/>
          <w:bCs/>
          <w:color w:val="1A1A1A"/>
          <w:sz w:val="26"/>
          <w:szCs w:val="26"/>
        </w:rPr>
        <w:t xml:space="preserve">9.1 Data Handling</w:t>
      </w:r>
    </w:p>
    <w:p>
      <w:pPr>
        <w:pStyle w:val="ListParagraph"/>
        <w:numPr>
          <w:ilvl w:val="0"/>
          <w:numId w:val="2"/>
        </w:numPr>
        <w:spacing w:after="80"/>
      </w:pPr>
      <w:r>
        <w:rPr>
          <w:rFonts w:ascii="Arial" w:cs="Arial" w:eastAsia="Arial" w:hAnsi="Arial"/>
          <w:b/>
          <w:bCs/>
          <w:color w:val="333333"/>
          <w:sz w:val="22"/>
          <w:szCs w:val="22"/>
        </w:rPr>
        <w:t xml:space="preserve">URL Privacy: </w:t>
      </w:r>
      <w:r>
        <w:rPr>
          <w:rFonts w:ascii="Arial" w:cs="Arial" w:eastAsia="Arial" w:hAnsi="Arial"/>
          <w:color w:val="333333"/>
          <w:sz w:val="22"/>
          <w:szCs w:val="22"/>
        </w:rPr>
        <w:t xml:space="preserve">Tenants can configure query parameter stripping (remove ?query= from telemetry) to protect user privacy while maintaining domain-level visibility.</w:t>
      </w:r>
    </w:p>
    <w:p>
      <w:pPr>
        <w:pStyle w:val="ListParagraph"/>
        <w:numPr>
          <w:ilvl w:val="0"/>
          <w:numId w:val="2"/>
        </w:numPr>
        <w:spacing w:after="80"/>
      </w:pPr>
      <w:r>
        <w:rPr>
          <w:rFonts w:ascii="Arial" w:cs="Arial" w:eastAsia="Arial" w:hAnsi="Arial"/>
          <w:b/>
          <w:bCs/>
          <w:color w:val="333333"/>
          <w:sz w:val="22"/>
          <w:szCs w:val="22"/>
        </w:rPr>
        <w:t xml:space="preserve">Credential Handling: </w:t>
      </w:r>
      <w:r>
        <w:rPr>
          <w:rFonts w:ascii="Arial" w:cs="Arial" w:eastAsia="Arial" w:hAnsi="Arial"/>
          <w:color w:val="333333"/>
          <w:sz w:val="22"/>
          <w:szCs w:val="22"/>
        </w:rPr>
        <w:t xml:space="preserve">Passwords are NEVER transmitted. Only SHA-1 prefix (first 5 chars) is sent for HIBP k-anonymity lookups. Credential reuse detection uses local hashing comparison only.</w:t>
      </w:r>
    </w:p>
    <w:p>
      <w:pPr>
        <w:pStyle w:val="ListParagraph"/>
        <w:numPr>
          <w:ilvl w:val="0"/>
          <w:numId w:val="2"/>
        </w:numPr>
        <w:spacing w:after="80"/>
      </w:pPr>
      <w:r>
        <w:rPr>
          <w:rFonts w:ascii="Arial" w:cs="Arial" w:eastAsia="Arial" w:hAnsi="Arial"/>
          <w:b/>
          <w:bCs/>
          <w:color w:val="333333"/>
          <w:sz w:val="22"/>
          <w:szCs w:val="22"/>
        </w:rPr>
        <w:t xml:space="preserve">Telemetry Encryption: </w:t>
      </w:r>
      <w:r>
        <w:rPr>
          <w:rFonts w:ascii="Arial" w:cs="Arial" w:eastAsia="Arial" w:hAnsi="Arial"/>
          <w:color w:val="333333"/>
          <w:sz w:val="22"/>
          <w:szCs w:val="22"/>
        </w:rPr>
        <w:t xml:space="preserve">All extension-to-API communication over TLS 1.3. Device authentication via rotating JWT tokens issued at enrollment.</w:t>
      </w:r>
    </w:p>
    <w:p>
      <w:pPr>
        <w:pStyle w:val="ListParagraph"/>
        <w:numPr>
          <w:ilvl w:val="0"/>
          <w:numId w:val="2"/>
        </w:numPr>
        <w:spacing w:after="80"/>
      </w:pPr>
      <w:r>
        <w:rPr>
          <w:rFonts w:ascii="Arial" w:cs="Arial" w:eastAsia="Arial" w:hAnsi="Arial"/>
          <w:b/>
          <w:bCs/>
          <w:color w:val="333333"/>
          <w:sz w:val="22"/>
          <w:szCs w:val="22"/>
        </w:rPr>
        <w:t xml:space="preserve">Data Residency: </w:t>
      </w:r>
      <w:r>
        <w:rPr>
          <w:rFonts w:ascii="Arial" w:cs="Arial" w:eastAsia="Arial" w:hAnsi="Arial"/>
          <w:color w:val="333333"/>
          <w:sz w:val="22"/>
          <w:szCs w:val="22"/>
        </w:rPr>
        <w:t xml:space="preserve">Supabase project region selectable per deployment. DNS logs stored in Cloudflare’s infrastructure per their data processing addendum.</w:t>
      </w:r>
    </w:p>
    <w:p>
      <w:pPr>
        <w:pStyle w:val="ListParagraph"/>
        <w:numPr>
          <w:ilvl w:val="0"/>
          <w:numId w:val="2"/>
        </w:numPr>
        <w:spacing w:after="80"/>
      </w:pPr>
      <w:r>
        <w:rPr>
          <w:rFonts w:ascii="Arial" w:cs="Arial" w:eastAsia="Arial" w:hAnsi="Arial"/>
          <w:b/>
          <w:bCs/>
          <w:color w:val="333333"/>
          <w:sz w:val="22"/>
          <w:szCs w:val="22"/>
        </w:rPr>
        <w:t xml:space="preserve">Retention Policies: </w:t>
      </w:r>
      <w:r>
        <w:rPr>
          <w:rFonts w:ascii="Arial" w:cs="Arial" w:eastAsia="Arial" w:hAnsi="Arial"/>
          <w:color w:val="333333"/>
          <w:sz w:val="22"/>
          <w:szCs w:val="22"/>
        </w:rPr>
        <w:t xml:space="preserve">Configurable per tenant. Default: 90 days for telemetry events, 365 days for aggregated reports, indefinite for policy audit logs.</w:t>
      </w:r>
    </w:p>
    <w:p>
      <w:pPr>
        <w:pStyle w:val="Heading2"/>
        <w:spacing w:after="160" w:before="280"/>
      </w:pPr>
      <w:r>
        <w:rPr>
          <w:rFonts w:ascii="Arial" w:cs="Arial" w:eastAsia="Arial" w:hAnsi="Arial"/>
          <w:b/>
          <w:bCs/>
          <w:color w:val="1A1A1A"/>
          <w:sz w:val="26"/>
          <w:szCs w:val="26"/>
        </w:rPr>
        <w:t xml:space="preserve">9.2 Compliance Mapping</w:t>
      </w:r>
    </w:p>
    <w:p>
      <w:pPr>
        <w:spacing w:after="160"/>
      </w:pPr>
      <w:r>
        <w:rPr>
          <w:rFonts w:ascii="Arial" w:cs="Arial" w:eastAsia="Arial" w:hAnsi="Arial"/>
          <w:color w:val="333333"/>
          <w:sz w:val="22"/>
          <w:szCs w:val="22"/>
        </w:rPr>
        <w:t xml:space="preserve">AEGIS capabilities map to the following compliance frameworks relevant to MSP clients, particularly healthcare (ASCs):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2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Relevant Controls</w:t>
            </w:r>
          </w:p>
        </w:tc>
        <w:tc>
          <w:tcPr>
            <w:tcW w:type="dxa" w:w="4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AEGIS Coverage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HIPAA Security Rule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§164.312(a) Access Control, §164.312(e) Transmission Security</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DLP controls prevent PHI exfiltration; DNS filtering blocks malicious destinations; credential monitoring enforces access hygiene</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CIS Controls v8</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CIS 2 (Software Inventory), CIS 9 (Email/Browser Protections), CIS 15 (Service Provider Mgmt)</w:t>
            </w:r>
          </w:p>
        </w:tc>
        <w:tc>
          <w:tcPr>
            <w:tcW w:type="dxa" w:w="4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SaaS inventory = CIS 2; browser policy enforcement = CIS 9; MSP tenant model = CIS 15</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NIST CSF 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PR.AC (Access Control), PR.DS (Data Security), DE.CM (Continuous Monitoring)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Credential analysis, DLP, and real-time telemetry map directly</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SOC 2 Type II</w:t>
            </w:r>
          </w:p>
        </w:tc>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CC6 (Logical Access), CC7 (System Operations)</w:t>
            </w:r>
          </w:p>
        </w:tc>
        <w:tc>
          <w:tcPr>
            <w:tcW w:type="dxa" w:w="4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Policy enforcement logging, device compliance monitoring</w:t>
            </w:r>
          </w:p>
        </w:tc>
      </w:tr>
    </w:tbl>
    <w:p>
      <w:r>
        <w:br w:type="page"/>
      </w:r>
    </w:p>
    <w:p>
      <w:pPr>
        <w:pStyle w:val="Heading1"/>
        <w:spacing w:after="200" w:before="360"/>
      </w:pPr>
      <w:r>
        <w:rPr>
          <w:rFonts w:ascii="Arial" w:cs="Arial" w:eastAsia="Arial" w:hAnsi="Arial"/>
          <w:b/>
          <w:bCs/>
          <w:color w:val="2E5090"/>
          <w:sz w:val="32"/>
          <w:szCs w:val="32"/>
        </w:rPr>
        <w:t xml:space="preserve">10. Build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60"/>
        <w:gridCol w:w="3000"/>
      </w:tblGrid>
      <w:tr>
        <w:trPr>
          <w:tblHeader/>
        </w:trPr>
        <w:tc>
          <w:tcPr>
            <w:tcW w:type="dxa" w:w="14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Sellable Outcome</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Phase 1: Foundation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Weeks 1–3</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AEGIS backend scaffold, policy engine data model (Supabase + RLS), telemetry ingestion pipeline (BullMQ), minimal browser extension (URL visit reporting + SaaS app classification)</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Shadow IT Discovery (standalone value prop)</w:t>
            </w:r>
          </w:p>
        </w:tc>
      </w:tr>
      <w:tr>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Phase 2: Protection</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Weeks 4–7</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Phishing detection (Safe Browsing API + heuristics), credential breach monitoring (HIBP), Cloudflare Gateway integration, DLP basics (file upload blocking)</w:t>
            </w:r>
          </w:p>
        </w:tc>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Managed Browser Security (core product)</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Phase 3: Intelligence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Weeks 8–10</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Adjusted Score (all signal sources), SaaS usage dashboards, credential risk scoring, CIS Controls mapping, AI-powered policy recommendations via Ducky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Security Posture Intelligence (full product)</w:t>
            </w:r>
          </w:p>
        </w:tc>
      </w:tr>
      <w:tr>
        <w:tc>
          <w:tcPr>
            <w:tcW w:type="dxa" w:w="14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Phase 4: GTM</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Weeks 10–12</w:t>
            </w:r>
          </w:p>
        </w:tc>
        <w:tc>
          <w:tcPr>
            <w:tcW w:type="dxa" w:w="3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Freemium scan landing page, Chrome Web Store listing, RMM deployment scripts (PowerShell for Intune/NinjaOne/Datto), MSP onboarding flow, sales collateral</w:t>
            </w:r>
          </w:p>
        </w:tc>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Revenue-generating product in market</w:t>
            </w:r>
          </w:p>
        </w:tc>
      </w:tr>
    </w:tbl>
    <w:p>
      <w:pPr>
        <w:pStyle w:val="Heading2"/>
        <w:spacing w:after="160" w:before="280"/>
      </w:pPr>
      <w:r>
        <w:rPr>
          <w:rFonts w:ascii="Arial" w:cs="Arial" w:eastAsia="Arial" w:hAnsi="Arial"/>
          <w:b/>
          <w:bCs/>
          <w:color w:val="1A1A1A"/>
          <w:sz w:val="26"/>
          <w:szCs w:val="26"/>
        </w:rPr>
        <w:t xml:space="preserve">10.1 Build Order Integration</w:t>
      </w:r>
    </w:p>
    <w:p>
      <w:pPr>
        <w:spacing w:after="160"/>
      </w:pPr>
      <w:r>
        <w:rPr>
          <w:rFonts w:ascii="Arial" w:cs="Arial" w:eastAsia="Arial" w:hAnsi="Arial"/>
          <w:color w:val="333333"/>
          <w:sz w:val="22"/>
          <w:szCs w:val="22"/>
        </w:rPr>
        <w:t xml:space="preserve">AEGIS sits 6th in the approved Cavaridge build order: Spaniel → Ducky → Caelum → Meridian → HIPAA → AEGIS → Midas → rest. However, the browser extension and Cloudflare Gateway integration are independent of the agent-first pipeline and can be developed in parallel once the monorepo core (packages/auth, packages/db) is stable.</w:t>
      </w:r>
    </w:p>
    <w:p>
      <w:r>
        <w:br w:type="page"/>
      </w:r>
    </w:p>
    <w:p>
      <w:pPr>
        <w:pStyle w:val="Heading1"/>
        <w:spacing w:after="200" w:before="360"/>
      </w:pPr>
      <w:r>
        <w:rPr>
          <w:rFonts w:ascii="Arial" w:cs="Arial" w:eastAsia="Arial" w:hAnsi="Arial"/>
          <w:b/>
          <w:bCs/>
          <w:color w:val="2E5090"/>
          <w:sz w:val="32"/>
          <w:szCs w:val="32"/>
        </w:rPr>
        <w:t xml:space="preserve">11. Pricing &amp; Packaging</w:t>
      </w:r>
    </w:p>
    <w:p>
      <w:pPr>
        <w:pStyle w:val="Heading2"/>
        <w:spacing w:after="160" w:before="280"/>
      </w:pPr>
      <w:r>
        <w:rPr>
          <w:rFonts w:ascii="Arial" w:cs="Arial" w:eastAsia="Arial" w:hAnsi="Arial"/>
          <w:b/>
          <w:bCs/>
          <w:color w:val="1A1A1A"/>
          <w:sz w:val="26"/>
          <w:szCs w:val="26"/>
        </w:rPr>
        <w:t xml:space="preserve">11.1 Proposed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Per Endpoint/Month</w:t>
            </w:r>
          </w:p>
        </w:tc>
        <w:tc>
          <w:tcPr>
            <w:tcW w:type="dxa" w:w="57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Free Scan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One-time external posture scan via freemium landing page. Lead gen for MSP channel.</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Essentials</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$2.50–$4.00</w:t>
            </w:r>
          </w:p>
        </w:tc>
        <w:tc>
          <w:tcPr>
            <w:tcW w:type="dxa" w:w="5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Browser extension (SaaS discovery, phishing protection, credential breach alerts). No DNS filtering.</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Professional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$5.00–$7.00</w:t>
            </w:r>
          </w:p>
        </w:tc>
        <w:tc>
          <w:tcPr>
            <w:tcW w:type="dxa" w:w="5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Essentials + Cloudflare Gateway DNS filtering + DLP controls + Cavaridge Adjusted Score.</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$8.00–$12.00</w:t>
            </w:r>
          </w:p>
        </w:tc>
        <w:tc>
          <w:tcPr>
            <w:tcW w:type="dxa" w:w="57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Professional + AI-powered policy recommendations (Ducky) + QBR report generation + API access for RMM/PSA integration.</w:t>
            </w:r>
          </w:p>
        </w:tc>
      </w:tr>
    </w:tbl>
    <w:p>
      <w:pPr>
        <w:spacing w:after="160"/>
      </w:pPr>
      <w:r>
        <w:rPr>
          <w:rFonts w:ascii="Arial" w:cs="Arial" w:eastAsia="Arial" w:hAnsi="Arial"/>
          <w:color w:val="333333"/>
          <w:sz w:val="22"/>
          <w:szCs w:val="22"/>
        </w:rPr>
        <w:t xml:space="preserve">Pricing is indicative and subject to market validation. MSPs purchase at wholesale and set their own retail pricing to end clients.</w:t>
      </w:r>
    </w:p>
    <w:p>
      <w:pPr>
        <w:pStyle w:val="Heading2"/>
        <w:spacing w:after="160" w:before="280"/>
      </w:pPr>
      <w:r>
        <w:rPr>
          <w:rFonts w:ascii="Arial" w:cs="Arial" w:eastAsia="Arial" w:hAnsi="Arial"/>
          <w:b/>
          <w:bCs/>
          <w:color w:val="1A1A1A"/>
          <w:sz w:val="26"/>
          <w:szCs w:val="26"/>
        </w:rPr>
        <w:t xml:space="preserve">11.2 Cloudflare Cost Pass-Through</w:t>
      </w:r>
    </w:p>
    <w:p>
      <w:pPr>
        <w:spacing w:after="160"/>
      </w:pPr>
      <w:r>
        <w:rPr>
          <w:rFonts w:ascii="Arial" w:cs="Arial" w:eastAsia="Arial" w:hAnsi="Arial"/>
          <w:color w:val="333333"/>
          <w:sz w:val="22"/>
          <w:szCs w:val="22"/>
        </w:rPr>
        <w:t xml:space="preserve">Cloudflare Zero Trust is free for up to 50 seats. Beyond that, Cloudflare charges per-seat pricing. AEGIS absorbs this cost and bundles it into the Professional and Enterprise tiers. At scale, Cloudflare enterprise agreements provide volume discounts.</w:t>
      </w:r>
    </w:p>
    <w:p>
      <w:pPr>
        <w:pStyle w:val="Heading1"/>
        <w:spacing w:after="200" w:before="360"/>
      </w:pPr>
      <w:r>
        <w:rPr>
          <w:rFonts w:ascii="Arial" w:cs="Arial" w:eastAsia="Arial" w:hAnsi="Arial"/>
          <w:b/>
          <w:bCs/>
          <w:color w:val="2E5090"/>
          <w:sz w:val="32"/>
          <w:szCs w:val="32"/>
        </w:rPr>
        <w:t xml:space="preserve">12. Go-to-Market Strategy</w:t>
      </w:r>
    </w:p>
    <w:p>
      <w:pPr>
        <w:pStyle w:val="Heading2"/>
        <w:spacing w:after="160" w:before="280"/>
      </w:pPr>
      <w:r>
        <w:rPr>
          <w:rFonts w:ascii="Arial" w:cs="Arial" w:eastAsia="Arial" w:hAnsi="Arial"/>
          <w:b/>
          <w:bCs/>
          <w:color w:val="1A1A1A"/>
          <w:sz w:val="26"/>
          <w:szCs w:val="26"/>
        </w:rPr>
        <w:t xml:space="preserve">12.1 Channel Strategy</w:t>
      </w:r>
    </w:p>
    <w:p>
      <w:pPr>
        <w:spacing w:after="160"/>
      </w:pPr>
      <w:r>
        <w:rPr>
          <w:rFonts w:ascii="Arial" w:cs="Arial" w:eastAsia="Arial" w:hAnsi="Arial"/>
          <w:color w:val="333333"/>
          <w:sz w:val="22"/>
          <w:szCs w:val="22"/>
        </w:rPr>
        <w:t xml:space="preserve">AEGIS is sold exclusively through the MSP channel. DIT serves as the design partner and first deployment tenant, providing real-world validation before broader distribution.</w:t>
      </w:r>
    </w:p>
    <w:p>
      <w:pPr>
        <w:pStyle w:val="Heading2"/>
        <w:spacing w:after="160" w:before="280"/>
      </w:pPr>
      <w:r>
        <w:rPr>
          <w:rFonts w:ascii="Arial" w:cs="Arial" w:eastAsia="Arial" w:hAnsi="Arial"/>
          <w:b/>
          <w:bCs/>
          <w:color w:val="1A1A1A"/>
          <w:sz w:val="26"/>
          <w:szCs w:val="26"/>
        </w:rPr>
        <w:t xml:space="preserve">12.2 GTM Motions</w:t>
      </w:r>
    </w:p>
    <w:p>
      <w:pPr>
        <w:pStyle w:val="ListParagraph"/>
        <w:numPr>
          <w:ilvl w:val="0"/>
          <w:numId w:val="2"/>
        </w:numPr>
        <w:spacing w:after="80"/>
      </w:pPr>
      <w:r>
        <w:rPr>
          <w:rFonts w:ascii="Arial" w:cs="Arial" w:eastAsia="Arial" w:hAnsi="Arial"/>
          <w:b/>
          <w:bCs/>
          <w:color w:val="333333"/>
          <w:sz w:val="22"/>
          <w:szCs w:val="22"/>
        </w:rPr>
        <w:t xml:space="preserve">Freemium Scan: </w:t>
      </w:r>
      <w:r>
        <w:rPr>
          <w:rFonts w:ascii="Arial" w:cs="Arial" w:eastAsia="Arial" w:hAnsi="Arial"/>
          <w:color w:val="333333"/>
          <w:sz w:val="22"/>
          <w:szCs w:val="22"/>
        </w:rPr>
        <w:t xml:space="preserve">Public-facing landing page where any business can run a free external security posture scan. Captures lead data. MSPs can white-label the scan page and use it as a sales tool.</w:t>
      </w:r>
    </w:p>
    <w:p>
      <w:pPr>
        <w:pStyle w:val="ListParagraph"/>
        <w:numPr>
          <w:ilvl w:val="0"/>
          <w:numId w:val="2"/>
        </w:numPr>
        <w:spacing w:after="80"/>
      </w:pPr>
      <w:r>
        <w:rPr>
          <w:rFonts w:ascii="Arial" w:cs="Arial" w:eastAsia="Arial" w:hAnsi="Arial"/>
          <w:b/>
          <w:bCs/>
          <w:color w:val="333333"/>
          <w:sz w:val="22"/>
          <w:szCs w:val="22"/>
        </w:rPr>
        <w:t xml:space="preserve">MSP Conference Circuit: </w:t>
      </w:r>
      <w:r>
        <w:rPr>
          <w:rFonts w:ascii="Arial" w:cs="Arial" w:eastAsia="Arial" w:hAnsi="Arial"/>
          <w:color w:val="333333"/>
          <w:sz w:val="22"/>
          <w:szCs w:val="22"/>
        </w:rPr>
        <w:t xml:space="preserve">IT Nation, DattoCon, Robin Robins events. Live demos showing browser telemetry flowing into the dashboard in real-time.</w:t>
      </w:r>
    </w:p>
    <w:p>
      <w:pPr>
        <w:pStyle w:val="ListParagraph"/>
        <w:numPr>
          <w:ilvl w:val="0"/>
          <w:numId w:val="2"/>
        </w:numPr>
        <w:spacing w:after="80"/>
      </w:pPr>
      <w:r>
        <w:rPr>
          <w:rFonts w:ascii="Arial" w:cs="Arial" w:eastAsia="Arial" w:hAnsi="Arial"/>
          <w:b/>
          <w:bCs/>
          <w:color w:val="333333"/>
          <w:sz w:val="22"/>
          <w:szCs w:val="22"/>
        </w:rPr>
        <w:t xml:space="preserve">QBR Enablement: </w:t>
      </w:r>
      <w:r>
        <w:rPr>
          <w:rFonts w:ascii="Arial" w:cs="Arial" w:eastAsia="Arial" w:hAnsi="Arial"/>
          <w:color w:val="333333"/>
          <w:sz w:val="22"/>
          <w:szCs w:val="22"/>
        </w:rPr>
        <w:t xml:space="preserve">The monthly security posture report is designed to be the centerpiece of MSP quarterly business reviews. The report sells the next tier of service.</w:t>
      </w:r>
    </w:p>
    <w:p>
      <w:pPr>
        <w:pStyle w:val="ListParagraph"/>
        <w:numPr>
          <w:ilvl w:val="0"/>
          <w:numId w:val="2"/>
        </w:numPr>
        <w:spacing w:after="80"/>
      </w:pPr>
      <w:r>
        <w:rPr>
          <w:rFonts w:ascii="Arial" w:cs="Arial" w:eastAsia="Arial" w:hAnsi="Arial"/>
          <w:b/>
          <w:bCs/>
          <w:color w:val="333333"/>
          <w:sz w:val="22"/>
          <w:szCs w:val="22"/>
        </w:rPr>
        <w:t xml:space="preserve">Competitive Displacement: </w:t>
      </w:r>
      <w:r>
        <w:rPr>
          <w:rFonts w:ascii="Arial" w:cs="Arial" w:eastAsia="Arial" w:hAnsi="Arial"/>
          <w:color w:val="333333"/>
          <w:sz w:val="22"/>
          <w:szCs w:val="22"/>
        </w:rPr>
        <w:t xml:space="preserve">Target MSPs currently using DNSFilter or no browser security at all. Position AEGIS as the unified solution that replaces DNSFilter + adds browser-level controls they don’t have today.</w:t>
      </w:r>
    </w:p>
    <w:p>
      <w:pPr>
        <w:pStyle w:val="Heading2"/>
        <w:spacing w:after="160" w:before="280"/>
      </w:pPr>
      <w:r>
        <w:rPr>
          <w:rFonts w:ascii="Arial" w:cs="Arial" w:eastAsia="Arial" w:hAnsi="Arial"/>
          <w:b/>
          <w:bCs/>
          <w:color w:val="1A1A1A"/>
          <w:sz w:val="26"/>
          <w:szCs w:val="26"/>
        </w:rPr>
        <w:t xml:space="preserve">12.3 Branding</w:t>
      </w:r>
    </w:p>
    <w:p>
      <w:pPr>
        <w:spacing w:after="160"/>
      </w:pPr>
      <w:r>
        <w:rPr>
          <w:rFonts w:ascii="Arial" w:cs="Arial" w:eastAsia="Arial" w:hAnsi="Arial"/>
          <w:color w:val="333333"/>
          <w:sz w:val="22"/>
          <w:szCs w:val="22"/>
        </w:rPr>
        <w:t xml:space="preserve">AEGIS is a Cavaridge product. The Ducky Intelligence mascot and footer tagline persist across all tenant-branded instances. Product naming: "AEGIS Browser Security by Cavaridge" or "AEGIS by Cavaridge" for short. The freemium scan page may use "AEGIS Security Scan" as a standalone brand for lead generation.</w:t>
      </w:r>
    </w:p>
    <w:p>
      <w:r>
        <w:br w:type="page"/>
      </w:r>
    </w:p>
    <w:p>
      <w:pPr>
        <w:pStyle w:val="Heading1"/>
        <w:spacing w:after="200" w:before="360"/>
      </w:pPr>
      <w:r>
        <w:rPr>
          <w:rFonts w:ascii="Arial" w:cs="Arial" w:eastAsia="Arial" w:hAnsi="Arial"/>
          <w:b/>
          <w:bCs/>
          <w:color w:val="2E5090"/>
          <w:sz w:val="32"/>
          <w:szCs w:val="32"/>
        </w:rPr>
        <w:t xml:space="preserve">13. Dependencies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Chrome Web Store review rejection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Submit early with minimal permissions; iterate based on review feedback; maintain sideload option for MSP force-deploy</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Manifest V3 limitations evolve</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Abstract enforcement logic behind service layer; monitor Chrome Platform Status for API changes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Cloudflare Gateway API changes or pricing increase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AEGIS API abstracts Cloudflare; DNS layer is swappable to NextDNS or custom resolver if needed</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HIBP API rate limits at scale</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Implement local breach database cache (HIBP Pwned Passwords downloadable dataset); batch queries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MSP adoption resistance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Free scan landing page as low-friction entry; DIT proof point for case study</w:t>
            </w:r>
          </w:p>
        </w:tc>
      </w:tr>
      <w:tr>
        <w:tc>
          <w:tcPr>
            <w:tcW w:type="dxa" w:w="3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Competing with Atakama’s head start and MSP relationships</w:t>
            </w:r>
          </w:p>
        </w:tc>
        <w:tc>
          <w:tcPr>
            <w:tcW w:type="dxa" w:w="1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Differentiate on intelligence (Cavaridge Adjusted Score, AI); undercut on pricing; leverage DIT’s ASC network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Browser extension performance impact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Telemetry batching; minimal content script injection; performance benchmarking in CI/CD</w:t>
            </w:r>
          </w:p>
        </w:tc>
      </w:tr>
    </w:tbl>
    <w:p>
      <w:r>
        <w:br w:type="page"/>
      </w:r>
    </w:p>
    <w:p>
      <w:pPr>
        <w:pStyle w:val="Heading1"/>
        <w:spacing w:after="200" w:before="360"/>
      </w:pPr>
      <w:r>
        <w:rPr>
          <w:rFonts w:ascii="Arial" w:cs="Arial" w:eastAsia="Arial" w:hAnsi="Arial"/>
          <w:b/>
          <w:bCs/>
          <w:color w:val="2E5090"/>
          <w:sz w:val="32"/>
          <w:szCs w:val="32"/>
        </w:rPr>
        <w:t xml:space="preserve">14. Appendices</w:t>
      </w:r>
    </w:p>
    <w:p>
      <w:pPr>
        <w:pStyle w:val="Heading2"/>
        <w:spacing w:after="160" w:before="280"/>
      </w:pPr>
      <w:r>
        <w:rPr>
          <w:rFonts w:ascii="Arial" w:cs="Arial" w:eastAsia="Arial" w:hAnsi="Arial"/>
          <w:b/>
          <w:bCs/>
          <w:color w:val="1A1A1A"/>
          <w:sz w:val="26"/>
          <w:szCs w:val="26"/>
        </w:rPr>
        <w:t xml:space="preserve">14.1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rPr>
          <w:tblHeader/>
        </w:trPr>
        <w:tc>
          <w:tcPr>
            <w:tcW w:type="dxa" w:w="4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3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1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Platform Architecture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CVG-CORE-DEV-v2.0</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CURRENT</w:t>
            </w:r>
          </w:p>
        </w:tc>
      </w:tr>
      <w:tr>
        <w:tc>
          <w:tcPr>
            <w:tcW w:type="dxa" w:w="4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Spaniel LLM Gateway Architecture</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CVG-AI-ARCH-v1.0</w:t>
            </w:r>
          </w:p>
        </w:tc>
        <w:tc>
          <w:tcPr>
            <w:tcW w:type="dxa" w:w="2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CURRENT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Ducky Intelligence Architecture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CVG-RESEARCH-AGENTIC-ARCHITECTURE-v1.0</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CURRENT</w:t>
            </w:r>
          </w:p>
        </w:tc>
      </w:tr>
      <w:tr>
        <w:tc>
          <w:tcPr>
            <w:tcW w:type="dxa" w:w="4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Agent Architecture Addendum A</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CVG-ARCH-ADDENDUM-A-v1.0</w:t>
            </w:r>
          </w:p>
        </w:tc>
        <w:tc>
          <w:tcPr>
            <w:tcW w:type="dxa" w:w="2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CURRENT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Midas Security Scoring Addendum</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CVG-MIDAS-SCORING-v1.0</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4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Tenant Intel Package Spec</w:t>
            </w:r>
          </w:p>
        </w:tc>
        <w:tc>
          <w:tcPr>
            <w:tcW w:type="dxa" w:w="3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@cavaridge/tenant-intel</w:t>
            </w:r>
          </w:p>
        </w:tc>
        <w:tc>
          <w:tcPr>
            <w:tcW w:type="dxa" w:w="21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CLAUDE.md (Monorepo Config)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CURRENT</w:t>
            </w:r>
          </w:p>
        </w:tc>
      </w:tr>
    </w:tbl>
    <w:p>
      <w:pPr>
        <w:pStyle w:val="Heading2"/>
        <w:spacing w:after="160" w:before="280"/>
      </w:pPr>
      <w:r>
        <w:rPr>
          <w:rFonts w:ascii="Arial" w:cs="Arial" w:eastAsia="Arial" w:hAnsi="Arial"/>
          <w:b/>
          <w:bCs/>
          <w:color w:val="1A1A1A"/>
          <w:sz w:val="26"/>
          <w:szCs w:val="26"/>
        </w:rPr>
        <w:t xml:space="preserve">14.2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Cavaridge Adjusted Score</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Composite 0–100 security posture metric integrating multiple signal sources with configurable weights</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DLP</w:t>
            </w:r>
          </w:p>
        </w:tc>
        <w:tc>
          <w:tcPr>
            <w:tcW w:type="dxa" w:w="6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Data Leakage Prevention — controls that prevent unauthorized data exfiltration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DoH</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DNS over HTTPS — encrypted DNS resolution protocol</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Gateway Location</w:t>
            </w:r>
          </w:p>
        </w:tc>
        <w:tc>
          <w:tcPr>
            <w:tcW w:type="dxa" w:w="6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Cloudflare Gateway concept; a unique DNS resolver endpoint per tenant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k-Anonymity</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Privacy technique where credential checks use partial hashes to prevent full credential exposure</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Manifest V3</w:t>
            </w:r>
          </w:p>
        </w:tc>
        <w:tc>
          <w:tcPr>
            <w:tcW w:type="dxa" w:w="6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Chrome extension platform version; mandatory for all new Chrome Web Store submissions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RLS</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Row Level Security — Postgres feature enforcing data isolation at the database layer</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RMM</w:t>
            </w:r>
          </w:p>
        </w:tc>
        <w:tc>
          <w:tcPr>
            <w:tcW w:type="dxa" w:w="6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Remote Monitoring and Management — MSP endpoint management platform (Datto, NinjaOne, ConnectWise)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Shadow IT</w:t>
            </w:r>
          </w:p>
        </w:tc>
        <w:tc>
          <w:tcPr>
            <w:tcW w:type="dxa" w:w="6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SaaS applications used by employees without IT/MSP knowledge or approval</w:t>
            </w:r>
          </w:p>
        </w:tc>
      </w:tr>
      <w:tr>
        <w:tc>
          <w:tcPr>
            <w:tcW w:type="dxa" w:w="2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Telemetry</w:t>
            </w:r>
          </w:p>
        </w:tc>
        <w:tc>
          <w:tcPr>
            <w:tcW w:type="dxa" w:w="6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Structured event data sent from browser extension to AEGIS backend for analysis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tabs>
        <w:tab w:val="right" w:pos="9026"/>
      </w:tabs>
    </w:pPr>
    <w:r>
      <w:rPr>
        <w:rFonts w:ascii="Arial" w:cs="Arial" w:eastAsia="Arial" w:hAnsi="Arial"/>
        <w:color w:val="666666"/>
        <w:sz w:val="16"/>
        <w:szCs w:val="16"/>
      </w:rPr>
      <w:t xml:space="preserve">Cavaridge, LLC — Powered by Ducky Intelligence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666666"/>
        <w:sz w:val="18"/>
        <w:szCs w:val="18"/>
      </w:rPr>
      <w:t xml:space="preserve">CVG-AEGIS Browser Security Platform</w:t>
    </w:r>
    <w:r>
      <w:rPr>
        <w:rFonts w:ascii="Arial" w:cs="Arial" w:eastAsia="Arial" w:hAnsi="Arial"/>
        <w:color w:val="666666"/>
        <w:sz w:val="18"/>
        <w:szCs w:val="18"/>
      </w:rPr>
      <w:t xml:space="preserve">	v1.0 — Cavaridge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2026-03-16T23:02:08.645Z</dcterms:created>
  <dcterms:modified xsi:type="dcterms:W3CDTF">2026-03-16T23:02:08.646Z</dcterms:modified>
</cp:coreProperties>
</file>

<file path=docProps/custom.xml><?xml version="1.0" encoding="utf-8"?>
<Properties xmlns="http://schemas.openxmlformats.org/officeDocument/2006/custom-properties" xmlns:vt="http://schemas.openxmlformats.org/officeDocument/2006/docPropsVTypes"/>
</file>