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2E5090"/>
          <w:sz w:val="48"/>
          <w:szCs w:val="48"/>
        </w:rPr>
        <w:t xml:space="preserve">Competitive Analysis</w:t>
      </w:r>
    </w:p>
    <w:p>
      <w:pPr>
        <w:spacing w:after="100"/>
        <w:jc w:val="center"/>
      </w:pPr>
      <w:r>
        <w:rPr>
          <w:rFonts w:ascii="Arial" w:cs="Arial" w:eastAsia="Arial" w:hAnsi="Arial"/>
          <w:color w:val="1A1A1A"/>
          <w:sz w:val="32"/>
          <w:szCs w:val="32"/>
        </w:rPr>
        <w:t xml:space="preserve">Managed Browser Security for MSPs</w:t>
      </w:r>
    </w:p>
    <w:p>
      <w:pPr>
        <w:spacing w:after="400"/>
        <w:jc w:val="center"/>
      </w:pPr>
      <w:r>
        <w:rPr>
          <w:rFonts w:ascii="Arial" w:cs="Arial" w:eastAsia="Arial" w:hAnsi="Arial"/>
          <w:color w:val="666666"/>
          <w:sz w:val="24"/>
          <w:szCs w:val="24"/>
        </w:rPr>
        <w:t xml:space="preserve">Atakama  |  Island  |  Prisma Access Browser  |  AEGIS by Cavaridge</w:t>
      </w:r>
    </w:p>
    <w:p>
      <w:pPr>
        <w:spacing w:after="100"/>
        <w:jc w:val="center"/>
      </w:pPr>
      <w:r>
        <w:rPr>
          <w:rFonts w:ascii="Arial" w:cs="Arial" w:eastAsia="Arial" w:hAnsi="Arial"/>
          <w:color w:val="333333"/>
          <w:sz w:val="22"/>
          <w:szCs w:val="22"/>
        </w:rPr>
        <w:t xml:space="preserve">Prepared by: Benjamin Posner, Principal &amp; vCIO</w:t>
      </w:r>
    </w:p>
    <w:p>
      <w:pPr>
        <w:spacing w:after="100"/>
        <w:jc w:val="center"/>
      </w:pPr>
      <w:r>
        <w:rPr>
          <w:rFonts w:ascii="Arial" w:cs="Arial" w:eastAsia="Arial" w:hAnsi="Arial"/>
          <w:color w:val="666666"/>
          <w:sz w:val="20"/>
          <w:szCs w:val="20"/>
        </w:rPr>
        <w:t xml:space="preserve">Cavaridge, LLC  |  March 16, 2026</w:t>
      </w:r>
    </w:p>
    <w:p>
      <w:pPr>
        <w:jc w:val="center"/>
      </w:pPr>
      <w:r>
        <w:rPr>
          <w:rFonts w:ascii="Arial" w:cs="Arial" w:eastAsia="Arial" w:hAnsi="Arial"/>
          <w:i/>
          <w:iCs/>
          <w:color w:val="666666"/>
          <w:sz w:val="18"/>
          <w:szCs w:val="18"/>
        </w:rPr>
        <w:t xml:space="preserve">Classification: INTERNAL — Cavaridge Confidential</w:t>
      </w:r>
    </w:p>
    <w:p>
      <w:r>
        <w:br w:type="page"/>
      </w:r>
    </w:p>
    <w:p>
      <w:pPr>
        <w:pStyle w:val="Heading1"/>
        <w:spacing w:after="200" w:before="360"/>
      </w:pPr>
      <w:r>
        <w:rPr>
          <w:rFonts w:ascii="Arial" w:cs="Arial" w:eastAsia="Arial" w:hAnsi="Arial"/>
          <w:b/>
          <w:bCs/>
          <w:color w:val="2E509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5090"/>
          <w:sz w:val="32"/>
          <w:szCs w:val="32"/>
        </w:rPr>
        <w:t xml:space="preserve">1. Executive Summary</w:t>
      </w:r>
    </w:p>
    <w:p>
      <w:pPr>
        <w:spacing w:after="140"/>
      </w:pPr>
      <w:r>
        <w:rPr>
          <w:rFonts w:ascii="Arial" w:cs="Arial" w:eastAsia="Arial" w:hAnsi="Arial"/>
          <w:color w:val="333333"/>
          <w:sz w:val="21"/>
          <w:szCs w:val="21"/>
        </w:rPr>
        <w:t xml:space="preserve">This analysis evaluates the three primary competitive products in the managed browser security space and positions AEGIS by Cavaridge against each. The market divides into two distinct segments: enterprise secure browsers (Island, Prisma Access Browser/Talon) that replace the user’s browser entirely, and MSP-focused browser extension platforms (Atakama) that secure the existing browser. AEGIS targets the MSP extension segment with a differentiated intelligence layer that no competitor offers.</w:t>
      </w:r>
    </w:p>
    <w:p>
      <w:pPr>
        <w:spacing w:after="140"/>
      </w:pPr>
      <w:r>
        <w:rPr>
          <w:rFonts w:ascii="Arial" w:cs="Arial" w:eastAsia="Arial" w:hAnsi="Arial"/>
          <w:b/>
          <w:bCs/>
          <w:color w:val="333333"/>
          <w:sz w:val="21"/>
          <w:szCs w:val="21"/>
        </w:rPr>
        <w:t xml:space="preserve">Key Finding: </w:t>
      </w:r>
      <w:r>
        <w:rPr>
          <w:rFonts w:ascii="Arial" w:cs="Arial" w:eastAsia="Arial" w:hAnsi="Arial"/>
          <w:color w:val="333333"/>
          <w:sz w:val="21"/>
          <w:szCs w:val="21"/>
        </w:rPr>
        <w:t xml:space="preserve">Atakama is the only direct competitor in the MSP-focused browser extension category. Island and Prisma Access Browser serve the enterprise market at price points 10–50x higher than the MSP segment, making them non-competitors for SMB/MSP deals but relevant as aspirational feature benchmarks.</w:t>
      </w:r>
    </w:p>
    <w:p>
      <w:pPr>
        <w:pStyle w:val="Heading1"/>
        <w:spacing w:after="200" w:before="360"/>
      </w:pPr>
      <w:r>
        <w:rPr>
          <w:rFonts w:ascii="Arial" w:cs="Arial" w:eastAsia="Arial" w:hAnsi="Arial"/>
          <w:b/>
          <w:bCs/>
          <w:color w:val="2E5090"/>
          <w:sz w:val="32"/>
          <w:szCs w:val="32"/>
        </w:rPr>
        <w:t xml:space="preserve">2. Market Segmentation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2280"/>
      </w:tblGrid>
      <w:tr>
        <w:trPr>
          <w:tblHeader/>
        </w:trPr>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Segment</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Approach</w:t>
            </w:r>
          </w:p>
        </w:tc>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Buyer</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Price Range</w:t>
            </w:r>
          </w:p>
        </w:tc>
        <w:tc>
          <w:tcPr>
            <w:tcW w:type="dxa" w:w="22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Key Players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Enterprise Secure Browser</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Full Chromium-fork browser replaces Chrome/Edge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CISO / CIO at 1,000+ seat enterprise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$10–$26/user/month</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Island, Prisma Access Browser (Talon)</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Browser Extension</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Extension installs into existing Chrome/Edge; managed by MSP</w:t>
            </w:r>
          </w:p>
        </w:tc>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selling to 10–500 seat SMB clients</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$2–$8/endpoint/month</w:t>
            </w:r>
          </w:p>
        </w:tc>
        <w:tc>
          <w:tcPr>
            <w:tcW w:type="dxa" w:w="2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Atakama, AEGIS (Cavaridge)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DNS Filtering (Adjacent)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System-level DNS filtering; no browser visibility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MSP or IT admin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$1–$4/endpoint/month</w:t>
            </w:r>
          </w:p>
        </w:tc>
        <w:tc>
          <w:tcPr>
            <w:tcW w:type="dxa" w:w="2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DNSFilter, Cisco Umbrella, NextDNS</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Credential Monitoring (Adjacent)</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Breach detection and password management</w:t>
            </w:r>
          </w:p>
        </w:tc>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IT admin / compliance officer</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$3–$8/user/month</w:t>
            </w:r>
          </w:p>
        </w:tc>
        <w:tc>
          <w:tcPr>
            <w:tcW w:type="dxa" w:w="2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Keeper, 1Password Business, Dashlane</w:t>
            </w:r>
          </w:p>
        </w:tc>
      </w:tr>
    </w:tbl>
    <w:p>
      <w:pPr>
        <w:spacing w:after="140"/>
      </w:pPr>
      <w:r>
        <w:rPr>
          <w:rFonts w:ascii="Arial" w:cs="Arial" w:eastAsia="Arial" w:hAnsi="Arial"/>
          <w:b/>
          <w:bCs/>
          <w:color w:val="333333"/>
          <w:sz w:val="21"/>
          <w:szCs w:val="21"/>
        </w:rPr>
        <w:t xml:space="preserve">AEGIS Positioning: </w:t>
      </w:r>
      <w:r>
        <w:rPr>
          <w:rFonts w:ascii="Arial" w:cs="Arial" w:eastAsia="Arial" w:hAnsi="Arial"/>
          <w:color w:val="333333"/>
          <w:sz w:val="21"/>
          <w:szCs w:val="21"/>
        </w:rPr>
        <w:t xml:space="preserve">AEGIS operates in the MSP Browser Extension segment but uniquely bridges into DNS filtering and credential monitoring through its unified platform, eliminating the need for MSPs to purchase and manage three separate point solutions.</w:t>
      </w:r>
    </w:p>
    <w:p>
      <w:r>
        <w:br w:type="page"/>
      </w:r>
    </w:p>
    <w:p>
      <w:pPr>
        <w:pStyle w:val="Heading1"/>
        <w:spacing w:after="200" w:before="360"/>
      </w:pPr>
      <w:r>
        <w:rPr>
          <w:rFonts w:ascii="Arial" w:cs="Arial" w:eastAsia="Arial" w:hAnsi="Arial"/>
          <w:b/>
          <w:bCs/>
          <w:color w:val="2E5090"/>
          <w:sz w:val="32"/>
          <w:szCs w:val="32"/>
        </w:rPr>
        <w:t xml:space="preserve">3. Competitor Profiles</w:t>
      </w:r>
    </w:p>
    <w:p>
      <w:pPr>
        <w:pStyle w:val="Heading2"/>
        <w:spacing w:after="160" w:before="280"/>
      </w:pPr>
      <w:r>
        <w:rPr>
          <w:rFonts w:ascii="Arial" w:cs="Arial" w:eastAsia="Arial" w:hAnsi="Arial"/>
          <w:b/>
          <w:bCs/>
          <w:color w:val="1A1A1A"/>
          <w:sz w:val="26"/>
          <w:szCs w:val="26"/>
        </w:rPr>
        <w:t xml:space="preserve">3.1 Atakama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Attribute</w:t>
            </w:r>
          </w:p>
        </w:tc>
        <w:tc>
          <w:tcPr>
            <w:tcW w:type="dxa" w:w="7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Founded</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2014 (New York City); pivoted to browser security ~2023</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GA Date</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February 2024 (browser security platform)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Funding</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publicly disclosed; privately held</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Target Market</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MSPs serving SMB clients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Delivery Model</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Browser extension (Chrome/Edge) + system-level DNS filtering</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Pricing Model</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Tiered, consumption-based; no public pricing; 50-for-50 promo (50% discount for deploying to 50%+ of endpoints)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Compliance</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SOC 2 Type II certified</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Integrations</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Multi-tenant management console; RMM deployment support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Notable Recognition</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Named to Help Net Security’s “10 data security companies to watch in 2026”</w:t>
            </w:r>
          </w:p>
        </w:tc>
      </w:tr>
    </w:tbl>
    <w:p>
      <w:pPr>
        <w:pStyle w:val="Heading3"/>
        <w:spacing w:after="120" w:before="200"/>
      </w:pPr>
      <w:r>
        <w:rPr>
          <w:rFonts w:ascii="Arial" w:cs="Arial" w:eastAsia="Arial" w:hAnsi="Arial"/>
          <w:b/>
          <w:bCs/>
          <w:color w:val="1A1A1A"/>
          <w:sz w:val="24"/>
          <w:szCs w:val="24"/>
        </w:rPr>
        <w:t xml:space="preserve">3.1.1 Feature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36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 Area</w:t>
            </w:r>
          </w:p>
        </w:tc>
        <w:tc>
          <w:tcPr>
            <w:tcW w:type="dxa" w:w="42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Capabilities</w:t>
            </w:r>
          </w:p>
        </w:tc>
        <w:tc>
          <w:tcPr>
            <w:tcW w:type="dxa" w:w="3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AEGIS Parity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Browser Security Controls</w:t>
            </w:r>
          </w:p>
        </w:tc>
        <w:tc>
          <w:tcPr>
            <w:tcW w:type="dxa" w:w="4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Browser hardening (disable plaintext password vault, dev tools, incognito); auto-delete cookies/cache/history; extension management</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Planned (Phase 2)</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DNS Filtering</w:t>
            </w:r>
          </w:p>
        </w:tc>
        <w:tc>
          <w:tcPr>
            <w:tcW w:type="dxa" w:w="4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DNS over HTTPS (DoH); category-based content filtering; malware/phishing blocking; C2 communication blocking</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Planned (Phase 2 via Cloudflare Gateway)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Anti-Phishing / Anti-Malware</w:t>
            </w:r>
          </w:p>
        </w:tc>
        <w:tc>
          <w:tcPr>
            <w:tcW w:type="dxa" w:w="4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In-browser website filtering by threat category; real-time scanning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Planned (Phase 2 — Safe Browsing API + heuristics)</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Credentials Analysis</w:t>
            </w:r>
          </w:p>
        </w:tc>
        <w:tc>
          <w:tcPr>
            <w:tcW w:type="dxa" w:w="4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Password scoring; credential misuse monitoring; breach detection</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Planned (Phase 2 — HIBP integration + reuse detection)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Data Leakage Prevention</w:t>
            </w:r>
          </w:p>
        </w:tc>
        <w:tc>
          <w:tcPr>
            <w:tcW w:type="dxa" w:w="4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Upload/download control per application; on-screen data masking (PII); screen watermarking with user name + timestamp; clipboard controls</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Planned (Phase 2 — file upload blocking; watermarking in Phase 3)</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Insights &amp; Monitoring</w:t>
            </w:r>
          </w:p>
        </w:tc>
        <w:tc>
          <w:tcPr>
            <w:tcW w:type="dxa" w:w="4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Company-wide app usage reporting; user-level activity insights; productivity analytics</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Planned (Phase 1 — SaaS discovery is first deliverable)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Multi-Tenant MSP Console</w:t>
            </w:r>
          </w:p>
        </w:tc>
        <w:tc>
          <w:tcPr>
            <w:tcW w:type="dxa" w:w="4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Per-client policy management; centralized reporting; scalable onboarding</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Existing (Cavaridge 4-tier tenant model)</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AI / Intelligence</w:t>
            </w:r>
          </w:p>
        </w:tc>
        <w:tc>
          <w:tcPr>
            <w:tcW w:type="dxa" w:w="42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None observed</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Core differentiator (Ducky Intelligence + Cavaridge Adjusted Score)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Security Scoring</w:t>
            </w:r>
          </w:p>
        </w:tc>
        <w:tc>
          <w:tcPr>
            <w:tcW w:type="dxa" w:w="42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None observed</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differentiator (Cavaridge Adjusted Score)</w:t>
            </w:r>
          </w:p>
        </w:tc>
      </w:tr>
    </w:tbl>
    <w:p>
      <w:pPr>
        <w:pStyle w:val="Heading3"/>
        <w:spacing w:after="120" w:before="200"/>
      </w:pPr>
      <w:r>
        <w:rPr>
          <w:rFonts w:ascii="Arial" w:cs="Arial" w:eastAsia="Arial" w:hAnsi="Arial"/>
          <w:b/>
          <w:bCs/>
          <w:color w:val="1A1A1A"/>
          <w:sz w:val="24"/>
          <w:szCs w:val="24"/>
        </w:rPr>
        <w:t xml:space="preserve">3.1.2 Strengths &amp; Weaknesses</w:t>
      </w:r>
    </w:p>
    <w:p>
      <w:pPr>
        <w:spacing w:after="140"/>
      </w:pPr>
      <w:r>
        <w:rPr>
          <w:rFonts w:ascii="Arial" w:cs="Arial" w:eastAsia="Arial" w:hAnsi="Arial"/>
          <w:b/>
          <w:bCs/>
          <w:color w:val="2E7D32"/>
          <w:sz w:val="21"/>
          <w:szCs w:val="21"/>
        </w:rPr>
        <w:t xml:space="preserve">Strengths: </w:t>
      </w:r>
      <w:r>
        <w:rPr>
          <w:rFonts w:ascii="Arial" w:cs="Arial" w:eastAsia="Arial" w:hAnsi="Arial"/>
          <w:color w:val="333333"/>
          <w:sz w:val="21"/>
          <w:szCs w:val="21"/>
        </w:rPr>
        <w:t xml:space="preserve">First to market in MSP browser extension space; SOC 2 Type II certification; purpose-built for MSP workflow (not enterprise repurposed); 40+ beta deployments before GA; flexible month-to-month contracts; DNS filtering integrated (not separate product).</w:t>
      </w:r>
    </w:p>
    <w:p>
      <w:pPr>
        <w:spacing w:after="140"/>
      </w:pPr>
      <w:r>
        <w:rPr>
          <w:rFonts w:ascii="Arial" w:cs="Arial" w:eastAsia="Arial" w:hAnsi="Arial"/>
          <w:b/>
          <w:bCs/>
          <w:color w:val="C62828"/>
          <w:sz w:val="21"/>
          <w:szCs w:val="21"/>
        </w:rPr>
        <w:t xml:space="preserve">Weaknesses: </w:t>
      </w:r>
      <w:r>
        <w:rPr>
          <w:rFonts w:ascii="Arial" w:cs="Arial" w:eastAsia="Arial" w:hAnsi="Arial"/>
          <w:color w:val="333333"/>
          <w:sz w:val="21"/>
          <w:szCs w:val="21"/>
        </w:rPr>
        <w:t xml:space="preserve">No AI or intelligence layer; no security posture scoring; no integration with Microsoft Secure Score or Google Workspace Security Health; pricing not transparent (requires sales engagement); limited public technical documentation; no free tier or freemium entry point; DKM (distributed key management) origin story may confuse positioning as they’ve pivoted away from their original product.</w:t>
      </w:r>
    </w:p>
    <w:p>
      <w:r>
        <w:br w:type="page"/>
      </w:r>
    </w:p>
    <w:p>
      <w:pPr>
        <w:pStyle w:val="Heading2"/>
        <w:spacing w:after="160" w:before="280"/>
      </w:pPr>
      <w:r>
        <w:rPr>
          <w:rFonts w:ascii="Arial" w:cs="Arial" w:eastAsia="Arial" w:hAnsi="Arial"/>
          <w:b/>
          <w:bCs/>
          <w:color w:val="1A1A1A"/>
          <w:sz w:val="26"/>
          <w:szCs w:val="26"/>
        </w:rPr>
        <w:t xml:space="preserve">3.2 Island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Attribute</w:t>
            </w:r>
          </w:p>
        </w:tc>
        <w:tc>
          <w:tcPr>
            <w:tcW w:type="dxa" w:w="7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Founded</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2020 (Dallas, TX); led by former Symantec president Mike Fey</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Valuation</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$4.8 billion (Series E, 2025 — $250M raise)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 Market</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Enterprise (1,000+ seats); finance, healthcare, government, retail</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Delivery Model</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Full Chromium-based enterprise browser (replaces Chrome/Edge); also offers browser extension and mobile apps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Pricing</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Starts ~$25,000/year annually; AWS Marketplace lists $250K/year (12-month), $750K (2-year), $1M (3-year)</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Focus</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None — enterprise-only direct sales model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Customer Retention</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CEO claims zero customer churn to date</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Key Clients</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7 of the 10 largest global financial institutions</w:t>
            </w:r>
          </w:p>
        </w:tc>
      </w:tr>
    </w:tbl>
    <w:p>
      <w:pPr>
        <w:pStyle w:val="Heading3"/>
        <w:spacing w:after="120" w:before="200"/>
      </w:pPr>
      <w:r>
        <w:rPr>
          <w:rFonts w:ascii="Arial" w:cs="Arial" w:eastAsia="Arial" w:hAnsi="Arial"/>
          <w:b/>
          <w:bCs/>
          <w:color w:val="1A1A1A"/>
          <w:sz w:val="24"/>
          <w:szCs w:val="24"/>
        </w:rPr>
        <w:t xml:space="preserve">3.2.1 Feature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3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Island</w:t>
            </w:r>
          </w:p>
        </w:tc>
        <w:tc>
          <w:tcPr>
            <w:tcW w:type="dxa" w:w="38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Relevance to AEGIS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Full Browser Replacement</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 — Chromium fork with embedded security</w:t>
            </w:r>
          </w:p>
        </w:tc>
        <w:tc>
          <w:tcPr>
            <w:tcW w:type="dxa" w:w="3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applicable; AEGIS uses extension model (no user disruption)</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DLP Controls</w:t>
            </w:r>
          </w:p>
        </w:tc>
        <w:tc>
          <w:tcPr>
            <w:tcW w:type="dxa" w:w="3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Granular: copy/paste, screenshots, printing, file up/down, watermarking, data masking</w:t>
            </w:r>
          </w:p>
        </w:tc>
        <w:tc>
          <w:tcPr>
            <w:tcW w:type="dxa" w:w="3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Benchmark target — AEGIS Phase 2–3 will cover upload/download and watermarking</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Zero Trust / ZTNA</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Built-in conditional access by identity, device posture, location, network</w:t>
            </w:r>
          </w:p>
        </w:tc>
        <w:tc>
          <w:tcPr>
            <w:tcW w:type="dxa" w:w="3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in scope for v1; potential Phase 4+ feature</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BYOD Support</w:t>
            </w:r>
          </w:p>
        </w:tc>
        <w:tc>
          <w:tcPr>
            <w:tcW w:type="dxa" w:w="3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Core use case — no device management needed</w:t>
            </w:r>
          </w:p>
        </w:tc>
        <w:tc>
          <w:tcPr>
            <w:tcW w:type="dxa" w:w="3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AEGIS extension works on any Chrome/Edge install, managed or unmanaged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Session Watermarking</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name + timestamp overlay on designated apps</w:t>
            </w:r>
          </w:p>
        </w:tc>
        <w:tc>
          <w:tcPr>
            <w:tcW w:type="dxa" w:w="3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Planned for Phase 3 (mirrors Atakama’s approach)</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AI Assistant</w:t>
            </w:r>
          </w:p>
        </w:tc>
        <w:tc>
          <w:tcPr>
            <w:tcW w:type="dxa" w:w="3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Built-in AI for writing, researching, summarizing</w:t>
            </w:r>
          </w:p>
        </w:tc>
        <w:tc>
          <w:tcPr>
            <w:tcW w:type="dxa" w:w="3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Ducky Intelligence provides AI across all Cavaridge apps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RDP Client</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Built-in remote desktop (limited vs native Microsoft RDP)</w:t>
            </w:r>
          </w:p>
        </w:tc>
        <w:tc>
          <w:tcPr>
            <w:tcW w:type="dxa" w:w="3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applicable</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Mobile Support</w:t>
            </w:r>
          </w:p>
        </w:tc>
        <w:tc>
          <w:tcPr>
            <w:tcW w:type="dxa" w:w="3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iOS, iPadOS, Android apps</w:t>
            </w:r>
          </w:p>
        </w:tc>
        <w:tc>
          <w:tcPr>
            <w:tcW w:type="dxa" w:w="3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AEGIS browser extension is desktop-only in v1; Ducky has mobile apps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Productivity Tools</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Ad blocker, smart clipboard, geolocation anonymizer</w:t>
            </w:r>
          </w:p>
        </w:tc>
        <w:tc>
          <w:tcPr>
            <w:tcW w:type="dxa" w:w="3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SaaS usage insights serve productivity monitoring differently</w:t>
            </w:r>
          </w:p>
        </w:tc>
      </w:tr>
    </w:tbl>
    <w:p>
      <w:pPr>
        <w:pStyle w:val="Heading3"/>
        <w:spacing w:after="120" w:before="200"/>
      </w:pPr>
      <w:r>
        <w:rPr>
          <w:rFonts w:ascii="Arial" w:cs="Arial" w:eastAsia="Arial" w:hAnsi="Arial"/>
          <w:b/>
          <w:bCs/>
          <w:color w:val="1A1A1A"/>
          <w:sz w:val="24"/>
          <w:szCs w:val="24"/>
        </w:rPr>
        <w:t xml:space="preserve">3.2.2 Strategic Assessment</w:t>
      </w:r>
    </w:p>
    <w:p>
      <w:pPr>
        <w:spacing w:after="140"/>
      </w:pPr>
      <w:r>
        <w:rPr>
          <w:rFonts w:ascii="Arial" w:cs="Arial" w:eastAsia="Arial" w:hAnsi="Arial"/>
          <w:b/>
          <w:bCs/>
          <w:color w:val="333333"/>
          <w:sz w:val="21"/>
          <w:szCs w:val="21"/>
        </w:rPr>
        <w:t xml:space="preserve">Island is not a direct competitor to AEGIS. </w:t>
      </w:r>
      <w:r>
        <w:rPr>
          <w:rFonts w:ascii="Arial" w:cs="Arial" w:eastAsia="Arial" w:hAnsi="Arial"/>
          <w:color w:val="333333"/>
          <w:sz w:val="21"/>
          <w:szCs w:val="21"/>
        </w:rPr>
        <w:t xml:space="preserve">Their $250K+ annual price point, enterprise-only sales motion, and full browser replacement model place them in a completely different market segment. However, Island validates the market thesis that browser-level security is a critical need. Their $4.8B valuation and zero-churn claim demonstrate strong product-market fit at the enterprise tier. AEGIS should study Island’s DLP feature depth (especially their granular copy/paste and screenshot controls) as a long-term feature roadmap reference. The MSP channel opportunity exists precisely because Island’s pricing and complexity exclude SMB clients.</w:t>
      </w:r>
    </w:p>
    <w:p>
      <w:r>
        <w:br w:type="page"/>
      </w:r>
    </w:p>
    <w:p>
      <w:pPr>
        <w:pStyle w:val="Heading2"/>
        <w:spacing w:after="160" w:before="280"/>
      </w:pPr>
      <w:r>
        <w:rPr>
          <w:rFonts w:ascii="Arial" w:cs="Arial" w:eastAsia="Arial" w:hAnsi="Arial"/>
          <w:b/>
          <w:bCs/>
          <w:color w:val="1A1A1A"/>
          <w:sz w:val="26"/>
          <w:szCs w:val="26"/>
        </w:rPr>
        <w:t xml:space="preserve">3.3 Prisma Access Browser (Talon)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Attribute</w:t>
            </w:r>
          </w:p>
        </w:tc>
        <w:tc>
          <w:tcPr>
            <w:tcW w:type="dxa" w:w="7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Talon Cyber Security (founded 2021); acquired by Palo Alto Networks 2023</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Current Product</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Prisma Access Browser — integrated into Prisma SASE platform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 Market</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Enterprise organizations already in the Palo Alto ecosystem</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Delivery Model</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Chromium-based enterprise browser; requires Prisma Access license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Pricing</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public; estimated $12–$26/user/month all-in (includes Prisma SASE)</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Focus</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Minimal — Palo Alto has an MSSP program but Prisma Browser is enterprise-positioned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Availability</w:t>
            </w:r>
          </w:p>
        </w:tc>
        <w:tc>
          <w:tcPr>
            <w:tcW w:type="dxa" w:w="7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 publicly downloadable; admin-deployed only through Prisma Access console</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Key Differentiator</w:t>
            </w:r>
          </w:p>
        </w:tc>
        <w:tc>
          <w:tcPr>
            <w:tcW w:type="dxa" w:w="7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Deep integration with Palo Alto’s WildFire threat intel and URL filtering</w:t>
            </w:r>
          </w:p>
        </w:tc>
      </w:tr>
    </w:tbl>
    <w:p>
      <w:pPr>
        <w:pStyle w:val="Heading3"/>
        <w:spacing w:after="120" w:before="200"/>
      </w:pPr>
      <w:r>
        <w:rPr>
          <w:rFonts w:ascii="Arial" w:cs="Arial" w:eastAsia="Arial" w:hAnsi="Arial"/>
          <w:b/>
          <w:bCs/>
          <w:color w:val="1A1A1A"/>
          <w:sz w:val="24"/>
          <w:szCs w:val="24"/>
        </w:rPr>
        <w:t xml:space="preserve">3.3.1 Strategic Assessment</w:t>
      </w:r>
    </w:p>
    <w:p>
      <w:pPr>
        <w:spacing w:after="140"/>
      </w:pPr>
      <w:r>
        <w:rPr>
          <w:rFonts w:ascii="Arial" w:cs="Arial" w:eastAsia="Arial" w:hAnsi="Arial"/>
          <w:b/>
          <w:bCs/>
          <w:color w:val="333333"/>
          <w:sz w:val="21"/>
          <w:szCs w:val="21"/>
        </w:rPr>
        <w:t xml:space="preserve">Prisma Access Browser is also not a direct AEGIS competitor. </w:t>
      </w:r>
      <w:r>
        <w:rPr>
          <w:rFonts w:ascii="Arial" w:cs="Arial" w:eastAsia="Arial" w:hAnsi="Arial"/>
          <w:color w:val="333333"/>
          <w:sz w:val="21"/>
          <w:szCs w:val="21"/>
        </w:rPr>
        <w:t xml:space="preserve">It requires an existing Prisma SASE subscription, placing it firmly in the Palo Alto ecosystem. Google Play reviews indicate significant usability issues on mobile (constant cache-clear popups, poor MS Teams/OneDrive compatibility). User reviews on Gartner cite management console limitations and lackluster support. The acquisition integration appears still in progress, with some features feeling bolted-on rather than native. For AEGIS, the key takeaway is that even $200B Palo Alto struggles with browser security UX — there is room for a product that prioritizes simplicity and MSP workflow over enterprise feature sprawl.</w:t>
      </w:r>
    </w:p>
    <w:p>
      <w:r>
        <w:br w:type="page"/>
      </w:r>
    </w:p>
    <w:p>
      <w:pPr>
        <w:pStyle w:val="Heading1"/>
        <w:spacing w:after="200" w:before="360"/>
      </w:pPr>
      <w:r>
        <w:rPr>
          <w:rFonts w:ascii="Arial" w:cs="Arial" w:eastAsia="Arial" w:hAnsi="Arial"/>
          <w:b/>
          <w:bCs/>
          <w:color w:val="2E5090"/>
          <w:sz w:val="32"/>
          <w:szCs w:val="32"/>
        </w:rPr>
        <w:t xml:space="preserve">4. Feature Comparison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80"/>
        <w:gridCol w:w="2400"/>
      </w:tblGrid>
      <w:tr>
        <w:trPr>
          <w:tblHeader/>
        </w:trPr>
        <w:tc>
          <w:tcPr>
            <w:tcW w:type="dxa" w:w="2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Atakama</w:t>
            </w:r>
          </w:p>
        </w:tc>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Island</w:t>
            </w:r>
          </w:p>
        </w:tc>
        <w:tc>
          <w:tcPr>
            <w:tcW w:type="dxa" w:w="18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Prisma Browser</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AEGIS (Cavaridge)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Browser Extension Model (no browser replacement)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Full Browser Replacement</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Multi-Tenant MSP Console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DNS Filtering (Integrated)</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Phishing / Malware Detection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Credential Breach Monitoring</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Credential Reuse Detection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DLP — File Upload/Download Controls</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DLP — Copy/Paste Controls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Phase 3</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DLP — Screen Watermarking</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Phase 3</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DLP — Data Masking (PII)</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Phase 3</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SaaS Shadow IT Discovery</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SaaS App Usage Analytics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Browser Config Compliance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AI-Powered Intelligence Layer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Security Posture Scoring</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Microsoft Secure Score Integration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Google Workspace Security Health</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Compensating Controls Credit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Automated QBR Report Generation</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Freemium Scan Landing Page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HIPAA Compliance Mapping</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F57F17"/>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CIS Controls Mapping</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RMM Force-Deploy Scripts</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Planned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Month-to-Month Contracts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C62828"/>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Zero Trust / ZTNA</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BYOD (Unmanaged Device)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F57F17"/>
                <w:sz w:val="18"/>
                <w:szCs w:val="18"/>
              </w:rPr>
              <w:t xml:space="preserve">○</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Mobile App</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C62828"/>
                <w:sz w:val="18"/>
                <w:szCs w:val="18"/>
              </w:rPr>
              <w:t xml:space="preserv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i/>
                <w:iCs/>
                <w:color w:val="2E5090"/>
                <w:sz w:val="18"/>
                <w:szCs w:val="18"/>
              </w:rPr>
              <w:t xml:space="preserve">Via Ducky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SOC 2 Certification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18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2E7D32"/>
                <w:sz w:val="18"/>
                <w:szCs w:val="18"/>
              </w:rPr>
              <w:t xml:space="preser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i/>
                <w:iCs/>
                <w:color w:val="2E5090"/>
                <w:sz w:val="18"/>
                <w:szCs w:val="18"/>
              </w:rPr>
              <w:t xml:space="preserve">Planned</w:t>
            </w:r>
          </w:p>
        </w:tc>
      </w:tr>
    </w:tbl>
    <w:p>
      <w:pPr>
        <w:spacing w:after="140"/>
      </w:pPr>
      <w:r>
        <w:rPr>
          <w:rFonts w:ascii="Arial" w:cs="Arial" w:eastAsia="Arial" w:hAnsi="Arial"/>
          <w:b/>
          <w:bCs/>
          <w:color w:val="333333"/>
          <w:sz w:val="21"/>
          <w:szCs w:val="21"/>
        </w:rPr>
        <w:t xml:space="preserve">Legend: </w:t>
      </w:r>
      <w:r>
        <w:rPr>
          <w:rFonts w:ascii="Arial" w:cs="Arial" w:eastAsia="Arial" w:hAnsi="Arial"/>
          <w:color w:val="333333"/>
          <w:sz w:val="21"/>
          <w:szCs w:val="21"/>
        </w:rPr>
        <w:t xml:space="preserve">✓ = Available  |  ○ = Partial/Limited  |  ✗ = Not available  |  Planned = In AEGIS roadmap</w:t>
      </w:r>
    </w:p>
    <w:p>
      <w:r>
        <w:br w:type="page"/>
      </w:r>
    </w:p>
    <w:p>
      <w:pPr>
        <w:pStyle w:val="Heading1"/>
        <w:spacing w:after="200" w:before="360"/>
      </w:pPr>
      <w:r>
        <w:rPr>
          <w:rFonts w:ascii="Arial" w:cs="Arial" w:eastAsia="Arial" w:hAnsi="Arial"/>
          <w:b/>
          <w:bCs/>
          <w:color w:val="2E5090"/>
          <w:sz w:val="32"/>
          <w:szCs w:val="32"/>
        </w:rPr>
        <w:t xml:space="preserve">5. Pricing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1800"/>
        <w:gridCol w:w="1680"/>
      </w:tblGrid>
      <w:tr>
        <w:trPr>
          <w:tblHeader/>
        </w:trPr>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Product</w:t>
            </w:r>
          </w:p>
        </w:tc>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Entry Price</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Typical SMB (50 users)</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Annual Cost (50 users)</w:t>
            </w:r>
          </w:p>
        </w:tc>
        <w:tc>
          <w:tcPr>
            <w:tcW w:type="dxa" w:w="1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Atakama</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Per-endpoint tiered (not public)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Contact sales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Est. $3–$6/endpoint/mo</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Est. $1,800–$3,600</w:t>
            </w:r>
          </w:p>
        </w:tc>
        <w:tc>
          <w:tcPr>
            <w:tcW w:type="dxa" w:w="1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Month-to-month available</w:t>
            </w:r>
          </w:p>
        </w:tc>
      </w:tr>
      <w:tr>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Island</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Per-user enterprise</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$25,000/year minimum</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$12–$20/user/mo</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$7,200–$12,000</w:t>
            </w:r>
          </w:p>
        </w:tc>
        <w:tc>
          <w:tcPr>
            <w:tcW w:type="dxa" w:w="1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Annual minimum</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Prisma Browser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Per-user (Prisma SASE bundle)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Requires Prisma Access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$12–$26/user/mo (all-in)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$7,200–$15,600</w:t>
            </w:r>
          </w:p>
        </w:tc>
        <w:tc>
          <w:tcPr>
            <w:tcW w:type="dxa" w:w="1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Annual w/ SASE license</w:t>
            </w:r>
          </w:p>
        </w:tc>
      </w:tr>
      <w:tr>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AEGIS (Proposed)</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Per-endpoint tiered</w:t>
            </w:r>
          </w:p>
        </w:tc>
        <w:tc>
          <w:tcPr>
            <w:tcW w:type="dxa" w:w="1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$0 (free scan)</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$2.50–$7/endpoint/mo</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$1,500–$4,200</w:t>
            </w:r>
          </w:p>
        </w:tc>
        <w:tc>
          <w:tcPr>
            <w:tcW w:type="dxa" w:w="1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Month-to-month</w:t>
            </w:r>
          </w:p>
        </w:tc>
      </w:tr>
    </w:tbl>
    <w:p>
      <w:pPr>
        <w:spacing w:after="140"/>
      </w:pPr>
      <w:r>
        <w:rPr>
          <w:rFonts w:ascii="Arial" w:cs="Arial" w:eastAsia="Arial" w:hAnsi="Arial"/>
          <w:b/>
          <w:bCs/>
          <w:color w:val="333333"/>
          <w:sz w:val="21"/>
          <w:szCs w:val="21"/>
        </w:rPr>
        <w:t xml:space="preserve">Pricing Advantage: </w:t>
      </w:r>
      <w:r>
        <w:rPr>
          <w:rFonts w:ascii="Arial" w:cs="Arial" w:eastAsia="Arial" w:hAnsi="Arial"/>
          <w:color w:val="333333"/>
          <w:sz w:val="21"/>
          <w:szCs w:val="21"/>
        </w:rPr>
        <w:t xml:space="preserve">AEGIS can undercut Atakama by 15–30% on comparable features while offering the Cavaridge Adjusted Score and AI intelligence layer at no additional cost in the Professional tier. The free scan landing page provides a zero-friction entry point that Atakama lacks entirely.</w:t>
      </w:r>
    </w:p>
    <w:p>
      <w:r>
        <w:br w:type="page"/>
      </w:r>
    </w:p>
    <w:p>
      <w:pPr>
        <w:pStyle w:val="Heading1"/>
        <w:spacing w:after="200" w:before="360"/>
      </w:pPr>
      <w:r>
        <w:rPr>
          <w:rFonts w:ascii="Arial" w:cs="Arial" w:eastAsia="Arial" w:hAnsi="Arial"/>
          <w:b/>
          <w:bCs/>
          <w:color w:val="2E5090"/>
          <w:sz w:val="32"/>
          <w:szCs w:val="32"/>
        </w:rPr>
        <w:t xml:space="preserve">6. AEGIS Competitive Advantages</w:t>
      </w:r>
    </w:p>
    <w:p>
      <w:pPr>
        <w:pStyle w:val="Heading2"/>
        <w:spacing w:after="160" w:before="280"/>
      </w:pPr>
      <w:r>
        <w:rPr>
          <w:rFonts w:ascii="Arial" w:cs="Arial" w:eastAsia="Arial" w:hAnsi="Arial"/>
          <w:b/>
          <w:bCs/>
          <w:color w:val="1A1A1A"/>
          <w:sz w:val="26"/>
          <w:szCs w:val="26"/>
        </w:rPr>
        <w:t xml:space="preserve">6.1 Advantages No Competitor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Advantage</w:t>
            </w:r>
          </w:p>
        </w:tc>
        <w:tc>
          <w:tcPr>
            <w:tcW w:type="dxa" w:w="4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Competitive Gap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Cavaridge Adjusted Score</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Single 0–100 metric combining browser security + Microsoft Secure Score + Google Workspace Health + third-party compensating controls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competitor integrates external security signals into browser security scoring</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AI-Powered Policy Recommendations</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Ducky Intelligence analyzes telemetry and recommends policy changes in natural language</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Atakama has no AI; Island has a basic writing assistant only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Automated QBR Report Generation</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Tenant-branded security posture reports designed as MSP quarterly business review collateral</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competitor produces MSP-sales-ready documents automatically</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Freemium Scan Landing Page</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Public-facing security scan captures leads and converts to paid; MSPs can white-label</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Atakama has no free tier; Island/Prisma are enterprise-only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HIPAA-First Compliance Design</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Built for healthcare MSP vertical from day one; maps to HIPAA Security Rule controls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Competitors treat healthcare as one of many verticals, not a primary focus</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Agent Architecture Integration</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Browser telemetry feeds into Cavaridge’s 3-tier agent model for cross-platform intelligence</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Competitors are standalone products with no agent/AI backbone</w:t>
            </w:r>
          </w:p>
        </w:tc>
      </w:tr>
    </w:tbl>
    <w:p>
      <w:pPr>
        <w:pStyle w:val="Heading2"/>
        <w:spacing w:after="160" w:before="280"/>
      </w:pPr>
      <w:r>
        <w:rPr>
          <w:rFonts w:ascii="Arial" w:cs="Arial" w:eastAsia="Arial" w:hAnsi="Arial"/>
          <w:b/>
          <w:bCs/>
          <w:color w:val="1A1A1A"/>
          <w:sz w:val="26"/>
          <w:szCs w:val="26"/>
        </w:rPr>
        <w:t xml:space="preserve">6.2 Risks &amp; Gaps to Close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Gap</w:t>
            </w:r>
          </w:p>
        </w:tc>
        <w:tc>
          <w:tcPr>
            <w:tcW w:type="dxa" w:w="4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Competitor Advantage</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 Plan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 to Market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Atakama has been GA since Feb 2024; 2+ years of production deployments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Ship Shadow IT Discovery (Phase 1) within 3 weeks; iterate fast; leverage DIT as proof point</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SOC 2 Certification</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Atakama and Island both have SOC 2 Type II</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Plan SOC 2 audit once platform stabilizes (~6 months post-launch)</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DLP Depth (Watermarking, Masking)</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Atakama has on-screen data masking and watermarking in production today</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Phase 3 deliverable; not required for initial MSP sales</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MSP Advisory Board</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Atakama developed with 30+ MSP design partners</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DIT is the design partner; expand to 5–10 MSPs in DIT’s peer network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Zero Trust / ZTNA</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Island and Prisma offer full Zero Trust conditional access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Out of scope for MSP/SMB market; ZTNA is enterprise overhead for 50-user clients</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Mobile Coverage</w:t>
            </w:r>
          </w:p>
        </w:tc>
        <w:tc>
          <w:tcPr>
            <w:tcW w:type="dxa" w:w="4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Island and Prisma have iOS/Android apps</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18"/>
                <w:szCs w:val="18"/>
              </w:rPr>
              <w:t xml:space="preserve">Ducky Intelligence mobile apps provide AI access; dedicated AEGIS mobile extension is Phase 4+</w:t>
            </w:r>
          </w:p>
        </w:tc>
      </w:tr>
    </w:tbl>
    <w:p>
      <w:r>
        <w:br w:type="page"/>
      </w:r>
    </w:p>
    <w:p>
      <w:pPr>
        <w:pStyle w:val="Heading1"/>
        <w:spacing w:after="200" w:before="360"/>
      </w:pPr>
      <w:r>
        <w:rPr>
          <w:rFonts w:ascii="Arial" w:cs="Arial" w:eastAsia="Arial" w:hAnsi="Arial"/>
          <w:b/>
          <w:bCs/>
          <w:color w:val="2E5090"/>
          <w:sz w:val="32"/>
          <w:szCs w:val="32"/>
        </w:rPr>
        <w:t xml:space="preserve">7. Go-to-Market Positioning</w:t>
      </w:r>
    </w:p>
    <w:p>
      <w:pPr>
        <w:pStyle w:val="Heading2"/>
        <w:spacing w:after="160" w:before="280"/>
      </w:pPr>
      <w:r>
        <w:rPr>
          <w:rFonts w:ascii="Arial" w:cs="Arial" w:eastAsia="Arial" w:hAnsi="Arial"/>
          <w:b/>
          <w:bCs/>
          <w:color w:val="1A1A1A"/>
          <w:sz w:val="26"/>
          <w:szCs w:val="26"/>
        </w:rPr>
        <w:t xml:space="preserve">7.1 Positioning Statement</w:t>
      </w:r>
    </w:p>
    <w:p>
      <w:pPr>
        <w:spacing w:after="140"/>
      </w:pPr>
      <w:r>
        <w:rPr>
          <w:rFonts w:ascii="Arial" w:cs="Arial" w:eastAsia="Arial" w:hAnsi="Arial"/>
          <w:b/>
          <w:bCs/>
          <w:color w:val="333333"/>
          <w:sz w:val="21"/>
          <w:szCs w:val="21"/>
        </w:rPr>
        <w:t xml:space="preserve">AEGIS by Cavaridge </w:t>
      </w:r>
      <w:r>
        <w:rPr>
          <w:rFonts w:ascii="Arial" w:cs="Arial" w:eastAsia="Arial" w:hAnsi="Arial"/>
          <w:color w:val="333333"/>
          <w:sz w:val="21"/>
          <w:szCs w:val="21"/>
        </w:rPr>
        <w:t xml:space="preserve">is the only managed browser security platform built for MSPs that combines real-time browser protection, DNS filtering, and AI-powered security posture scoring in a single platform. Unlike point solutions that only filter DNS or only monitor credentials, AEGIS gives MSPs one dashboard to protect, score, and report on their clients’ entire browser security posture — including signals from Microsoft 365, Google Workspace, and third-party security tools.</w:t>
      </w:r>
    </w:p>
    <w:p>
      <w:pPr>
        <w:pStyle w:val="Heading2"/>
        <w:spacing w:after="160" w:before="280"/>
      </w:pPr>
      <w:r>
        <w:rPr>
          <w:rFonts w:ascii="Arial" w:cs="Arial" w:eastAsia="Arial" w:hAnsi="Arial"/>
          <w:b/>
          <w:bCs/>
          <w:color w:val="1A1A1A"/>
          <w:sz w:val="26"/>
          <w:szCs w:val="26"/>
        </w:rPr>
        <w:t xml:space="preserve">7.2 Competitive Displacement Playbook</w:t>
      </w:r>
    </w:p>
    <w:p>
      <w:pPr>
        <w:pStyle w:val="Heading3"/>
        <w:spacing w:after="120" w:before="200"/>
      </w:pPr>
      <w:r>
        <w:rPr>
          <w:rFonts w:ascii="Arial" w:cs="Arial" w:eastAsia="Arial" w:hAnsi="Arial"/>
          <w:b/>
          <w:bCs/>
          <w:color w:val="1A1A1A"/>
          <w:sz w:val="24"/>
          <w:szCs w:val="24"/>
        </w:rPr>
        <w:t xml:space="preserve">Against Atakama</w:t>
      </w:r>
    </w:p>
    <w:p>
      <w:pPr>
        <w:pStyle w:val="ListParagraph"/>
        <w:numPr>
          <w:ilvl w:val="0"/>
          <w:numId w:val="2"/>
        </w:numPr>
        <w:spacing w:after="70"/>
      </w:pPr>
      <w:r>
        <w:rPr>
          <w:rFonts w:ascii="Arial" w:cs="Arial" w:eastAsia="Arial" w:hAnsi="Arial"/>
          <w:b/>
          <w:bCs/>
          <w:color w:val="333333"/>
          <w:sz w:val="21"/>
          <w:szCs w:val="21"/>
        </w:rPr>
        <w:t xml:space="preserve">Lead with intelligence: </w:t>
      </w:r>
      <w:r>
        <w:rPr>
          <w:rFonts w:ascii="Arial" w:cs="Arial" w:eastAsia="Arial" w:hAnsi="Arial"/>
          <w:color w:val="333333"/>
          <w:sz w:val="21"/>
          <w:szCs w:val="21"/>
        </w:rPr>
        <w:t xml:space="preserve">"Atakama can tell you what happened in the browser. AEGIS tells you what it means for your client’s security posture and what to do about it."</w:t>
      </w:r>
    </w:p>
    <w:p>
      <w:pPr>
        <w:pStyle w:val="ListParagraph"/>
        <w:numPr>
          <w:ilvl w:val="0"/>
          <w:numId w:val="2"/>
        </w:numPr>
        <w:spacing w:after="70"/>
      </w:pPr>
      <w:r>
        <w:rPr>
          <w:rFonts w:ascii="Arial" w:cs="Arial" w:eastAsia="Arial" w:hAnsi="Arial"/>
          <w:b/>
          <w:bCs/>
          <w:color w:val="333333"/>
          <w:sz w:val="21"/>
          <w:szCs w:val="21"/>
        </w:rPr>
        <w:t xml:space="preserve">Lead with free: </w:t>
      </w:r>
      <w:r>
        <w:rPr>
          <w:rFonts w:ascii="Arial" w:cs="Arial" w:eastAsia="Arial" w:hAnsi="Arial"/>
          <w:color w:val="333333"/>
          <w:sz w:val="21"/>
          <w:szCs w:val="21"/>
        </w:rPr>
        <w:t xml:space="preserve">"Run a free AEGIS security scan for any prospect. Try doing that with Atakama."</w:t>
      </w:r>
    </w:p>
    <w:p>
      <w:pPr>
        <w:pStyle w:val="ListParagraph"/>
        <w:numPr>
          <w:ilvl w:val="0"/>
          <w:numId w:val="2"/>
        </w:numPr>
        <w:spacing w:after="70"/>
      </w:pPr>
      <w:r>
        <w:rPr>
          <w:rFonts w:ascii="Arial" w:cs="Arial" w:eastAsia="Arial" w:hAnsi="Arial"/>
          <w:b/>
          <w:bCs/>
          <w:color w:val="333333"/>
          <w:sz w:val="21"/>
          <w:szCs w:val="21"/>
        </w:rPr>
        <w:t xml:space="preserve">Lead with QBR: </w:t>
      </w:r>
      <w:r>
        <w:rPr>
          <w:rFonts w:ascii="Arial" w:cs="Arial" w:eastAsia="Arial" w:hAnsi="Arial"/>
          <w:color w:val="333333"/>
          <w:sz w:val="21"/>
          <w:szCs w:val="21"/>
        </w:rPr>
        <w:t xml:space="preserve">"AEGIS generates your quarterly business review report automatically. That one feature pays for the product."</w:t>
      </w:r>
    </w:p>
    <w:p>
      <w:pPr>
        <w:pStyle w:val="Heading3"/>
        <w:spacing w:after="120" w:before="200"/>
      </w:pPr>
      <w:r>
        <w:rPr>
          <w:rFonts w:ascii="Arial" w:cs="Arial" w:eastAsia="Arial" w:hAnsi="Arial"/>
          <w:b/>
          <w:bCs/>
          <w:color w:val="1A1A1A"/>
          <w:sz w:val="24"/>
          <w:szCs w:val="24"/>
        </w:rPr>
        <w:t xml:space="preserve">Against DNSFilter (Displacement)</w:t>
      </w:r>
    </w:p>
    <w:p>
      <w:pPr>
        <w:pStyle w:val="ListParagraph"/>
        <w:numPr>
          <w:ilvl w:val="0"/>
          <w:numId w:val="2"/>
        </w:numPr>
        <w:spacing w:after="70"/>
      </w:pPr>
      <w:r>
        <w:rPr>
          <w:rFonts w:ascii="Arial" w:cs="Arial" w:eastAsia="Arial" w:hAnsi="Arial"/>
          <w:b/>
          <w:bCs/>
          <w:color w:val="333333"/>
          <w:sz w:val="21"/>
          <w:szCs w:val="21"/>
        </w:rPr>
        <w:t xml:space="preserve">Bundle play: </w:t>
      </w:r>
      <w:r>
        <w:rPr>
          <w:rFonts w:ascii="Arial" w:cs="Arial" w:eastAsia="Arial" w:hAnsi="Arial"/>
          <w:color w:val="333333"/>
          <w:sz w:val="21"/>
          <w:szCs w:val="21"/>
        </w:rPr>
        <w:t xml:space="preserve">"You’re paying for DNS filtering. For the same price, get DNS filtering PLUS browser-level phishing protection, credential monitoring, SaaS discovery, and a security score your clients can actually understand."</w:t>
      </w:r>
    </w:p>
    <w:p>
      <w:pPr>
        <w:pStyle w:val="Heading3"/>
        <w:spacing w:after="120" w:before="200"/>
      </w:pPr>
      <w:r>
        <w:rPr>
          <w:rFonts w:ascii="Arial" w:cs="Arial" w:eastAsia="Arial" w:hAnsi="Arial"/>
          <w:b/>
          <w:bCs/>
          <w:color w:val="1A1A1A"/>
          <w:sz w:val="24"/>
          <w:szCs w:val="24"/>
        </w:rPr>
        <w:t xml:space="preserve">Against “We Don’t Have Browser Security”</w:t>
      </w:r>
    </w:p>
    <w:p>
      <w:pPr>
        <w:pStyle w:val="ListParagraph"/>
        <w:numPr>
          <w:ilvl w:val="0"/>
          <w:numId w:val="2"/>
        </w:numPr>
        <w:spacing w:after="70"/>
      </w:pPr>
      <w:r>
        <w:rPr>
          <w:rFonts w:ascii="Arial" w:cs="Arial" w:eastAsia="Arial" w:hAnsi="Arial"/>
          <w:b/>
          <w:bCs/>
          <w:color w:val="333333"/>
          <w:sz w:val="21"/>
          <w:szCs w:val="21"/>
        </w:rPr>
        <w:t xml:space="preserve">Risk-based: </w:t>
      </w:r>
      <w:r>
        <w:rPr>
          <w:rFonts w:ascii="Arial" w:cs="Arial" w:eastAsia="Arial" w:hAnsi="Arial"/>
          <w:color w:val="333333"/>
          <w:sz w:val="21"/>
          <w:szCs w:val="21"/>
        </w:rPr>
        <w:t xml:space="preserve">"90% of your clients’ work happens in the browser. You’re protecting the endpoint and the network but not the single application that touches all their data."</w:t>
      </w:r>
    </w:p>
    <w:p>
      <w:pPr>
        <w:pStyle w:val="ListParagraph"/>
        <w:numPr>
          <w:ilvl w:val="0"/>
          <w:numId w:val="2"/>
        </w:numPr>
        <w:spacing w:after="70"/>
      </w:pPr>
      <w:r>
        <w:rPr>
          <w:rFonts w:ascii="Arial" w:cs="Arial" w:eastAsia="Arial" w:hAnsi="Arial"/>
          <w:b/>
          <w:bCs/>
          <w:color w:val="333333"/>
          <w:sz w:val="21"/>
          <w:szCs w:val="21"/>
        </w:rPr>
        <w:t xml:space="preserve">Revenue-based: </w:t>
      </w:r>
      <w:r>
        <w:rPr>
          <w:rFonts w:ascii="Arial" w:cs="Arial" w:eastAsia="Arial" w:hAnsi="Arial"/>
          <w:color w:val="333333"/>
          <w:sz w:val="21"/>
          <w:szCs w:val="21"/>
        </w:rPr>
        <w:t xml:space="preserve">"Adding browser security is $3–5/endpoint of new MRR with near-zero support overhead. On a 500-endpoint MSP book, that’s $1,500–$2,500/month of incremental revenue."</w:t>
      </w:r>
    </w:p>
    <w:p>
      <w:pPr>
        <w:pStyle w:val="Heading1"/>
        <w:spacing w:after="200" w:before="360"/>
      </w:pPr>
      <w:r>
        <w:rPr>
          <w:rFonts w:ascii="Arial" w:cs="Arial" w:eastAsia="Arial" w:hAnsi="Arial"/>
          <w:b/>
          <w:bCs/>
          <w:color w:val="2E5090"/>
          <w:sz w:val="32"/>
          <w:szCs w:val="32"/>
        </w:rPr>
        <w:t xml:space="preserve">8. Recommendations</w:t>
      </w:r>
    </w:p>
    <w:p>
      <w:pPr>
        <w:spacing w:after="140"/>
      </w:pPr>
      <w:r>
        <w:rPr>
          <w:rFonts w:ascii="Arial" w:cs="Arial" w:eastAsia="Arial" w:hAnsi="Arial"/>
          <w:color w:val="333333"/>
          <w:sz w:val="21"/>
          <w:szCs w:val="21"/>
        </w:rPr>
        <w:t xml:space="preserve">Based on this analysis, the following strategic recommendations apply to the AEGIS build:</w:t>
      </w:r>
    </w:p>
    <w:p>
      <w:pPr>
        <w:pStyle w:val="ListParagraph"/>
        <w:numPr>
          <w:ilvl w:val="0"/>
          <w:numId w:val="2"/>
        </w:numPr>
        <w:spacing w:after="70"/>
      </w:pPr>
      <w:r>
        <w:rPr>
          <w:rFonts w:ascii="Arial" w:cs="Arial" w:eastAsia="Arial" w:hAnsi="Arial"/>
          <w:b/>
          <w:bCs/>
          <w:color w:val="333333"/>
          <w:sz w:val="21"/>
          <w:szCs w:val="21"/>
        </w:rPr>
        <w:t xml:space="preserve">Ship Phase 1 (Shadow IT Discovery) as fast as possible. </w:t>
      </w:r>
      <w:r>
        <w:rPr>
          <w:rFonts w:ascii="Arial" w:cs="Arial" w:eastAsia="Arial" w:hAnsi="Arial"/>
          <w:color w:val="333333"/>
          <w:sz w:val="21"/>
          <w:szCs w:val="21"/>
        </w:rPr>
        <w:t xml:space="preserve">This is the lowest-engineering-effort feature that delivers immediate, sellable value. Every MSP wants to know what SaaS apps their clients are using.</w:t>
      </w:r>
    </w:p>
    <w:p>
      <w:pPr>
        <w:pStyle w:val="ListParagraph"/>
        <w:numPr>
          <w:ilvl w:val="0"/>
          <w:numId w:val="2"/>
        </w:numPr>
        <w:spacing w:after="70"/>
      </w:pPr>
      <w:r>
        <w:rPr>
          <w:rFonts w:ascii="Arial" w:cs="Arial" w:eastAsia="Arial" w:hAnsi="Arial"/>
          <w:b/>
          <w:bCs/>
          <w:color w:val="333333"/>
          <w:sz w:val="21"/>
          <w:szCs w:val="21"/>
        </w:rPr>
        <w:t xml:space="preserve">Prioritize the Cavaridge Adjusted Score as the primary differentiator. </w:t>
      </w:r>
      <w:r>
        <w:rPr>
          <w:rFonts w:ascii="Arial" w:cs="Arial" w:eastAsia="Arial" w:hAnsi="Arial"/>
          <w:color w:val="333333"/>
          <w:sz w:val="21"/>
          <w:szCs w:val="21"/>
        </w:rPr>
        <w:t xml:space="preserve">This is the single feature no competitor can match, and it directly enables the QBR report generation that drives MSP renewal revenue.</w:t>
      </w:r>
    </w:p>
    <w:p>
      <w:pPr>
        <w:pStyle w:val="ListParagraph"/>
        <w:numPr>
          <w:ilvl w:val="0"/>
          <w:numId w:val="2"/>
        </w:numPr>
        <w:spacing w:after="70"/>
      </w:pPr>
      <w:r>
        <w:rPr>
          <w:rFonts w:ascii="Arial" w:cs="Arial" w:eastAsia="Arial" w:hAnsi="Arial"/>
          <w:b/>
          <w:bCs/>
          <w:color w:val="333333"/>
          <w:sz w:val="21"/>
          <w:szCs w:val="21"/>
        </w:rPr>
        <w:t xml:space="preserve">Do not attempt to match Island/Prisma DLP depth in v1. </w:t>
      </w:r>
      <w:r>
        <w:rPr>
          <w:rFonts w:ascii="Arial" w:cs="Arial" w:eastAsia="Arial" w:hAnsi="Arial"/>
          <w:color w:val="333333"/>
          <w:sz w:val="21"/>
          <w:szCs w:val="21"/>
        </w:rPr>
        <w:t xml:space="preserve">Copy/paste controls, screenshot blocking, and data masking are enterprise requirements. MSP clients need upload/download controls and basic watermarking. Ship those first.</w:t>
      </w:r>
    </w:p>
    <w:p>
      <w:pPr>
        <w:pStyle w:val="ListParagraph"/>
        <w:numPr>
          <w:ilvl w:val="0"/>
          <w:numId w:val="2"/>
        </w:numPr>
        <w:spacing w:after="70"/>
      </w:pPr>
      <w:r>
        <w:rPr>
          <w:rFonts w:ascii="Arial" w:cs="Arial" w:eastAsia="Arial" w:hAnsi="Arial"/>
          <w:b/>
          <w:bCs/>
          <w:color w:val="333333"/>
          <w:sz w:val="21"/>
          <w:szCs w:val="21"/>
        </w:rPr>
        <w:t xml:space="preserve">Use Cloudflare Gateway as the DNS infrastructure and never look back. </w:t>
      </w:r>
      <w:r>
        <w:rPr>
          <w:rFonts w:ascii="Arial" w:cs="Arial" w:eastAsia="Arial" w:hAnsi="Arial"/>
          <w:color w:val="333333"/>
          <w:sz w:val="21"/>
          <w:szCs w:val="21"/>
        </w:rPr>
        <w:t xml:space="preserve">The brand credibility, global edge network, and API quality are unmatched. The free tier (50 seats) means early MSP tenants cost Cavaridge nothing.</w:t>
      </w:r>
    </w:p>
    <w:p>
      <w:pPr>
        <w:pStyle w:val="ListParagraph"/>
        <w:numPr>
          <w:ilvl w:val="0"/>
          <w:numId w:val="2"/>
        </w:numPr>
        <w:spacing w:after="70"/>
      </w:pPr>
      <w:r>
        <w:rPr>
          <w:rFonts w:ascii="Arial" w:cs="Arial" w:eastAsia="Arial" w:hAnsi="Arial"/>
          <w:b/>
          <w:bCs/>
          <w:color w:val="333333"/>
          <w:sz w:val="21"/>
          <w:szCs w:val="21"/>
        </w:rPr>
        <w:t xml:space="preserve">The freemium scan landing page is the GTM unlock. </w:t>
      </w:r>
      <w:r>
        <w:rPr>
          <w:rFonts w:ascii="Arial" w:cs="Arial" w:eastAsia="Arial" w:hAnsi="Arial"/>
          <w:color w:val="333333"/>
          <w:sz w:val="21"/>
          <w:szCs w:val="21"/>
        </w:rPr>
        <w:t xml:space="preserve">Atakama requires a sales conversation. Island requires a $250K commitment. AEGIS should let any MSP run a free scan today and convert to paid when they see value.</w:t>
      </w:r>
    </w:p>
    <w:p>
      <w:pPr>
        <w:pStyle w:val="ListParagraph"/>
        <w:numPr>
          <w:ilvl w:val="0"/>
          <w:numId w:val="2"/>
        </w:numPr>
        <w:spacing w:after="70"/>
      </w:pPr>
      <w:r>
        <w:rPr>
          <w:rFonts w:ascii="Arial" w:cs="Arial" w:eastAsia="Arial" w:hAnsi="Arial"/>
          <w:b/>
          <w:bCs/>
          <w:color w:val="333333"/>
          <w:sz w:val="21"/>
          <w:szCs w:val="21"/>
        </w:rPr>
        <w:t xml:space="preserve">Target ASC/healthcare MSPs first through DIT’s existing network. </w:t>
      </w:r>
      <w:r>
        <w:rPr>
          <w:rFonts w:ascii="Arial" w:cs="Arial" w:eastAsia="Arial" w:hAnsi="Arial"/>
          <w:color w:val="333333"/>
          <w:sz w:val="21"/>
          <w:szCs w:val="21"/>
        </w:rPr>
        <w:t xml:space="preserve">HIPAA compliance mapping is a natural differentiator in this vertical, and DIT has the relationships.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tabs>
        <w:tab w:val="right" w:pos="9026"/>
      </w:tabs>
    </w:pPr>
    <w:r>
      <w:rPr>
        <w:rFonts w:ascii="Arial" w:cs="Arial" w:eastAsia="Arial" w:hAnsi="Arial"/>
        <w:color w:val="666666"/>
        <w:sz w:val="16"/>
        <w:szCs w:val="16"/>
      </w:rPr>
      <w:t xml:space="preserve">Cavaridge, LLC — Powered by Ducky Intelligence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666666"/>
        <w:sz w:val="18"/>
        <w:szCs w:val="18"/>
      </w:rPr>
      <w:t xml:space="preserve">Competitive Analysis — Managed Browser Security</w:t>
    </w:r>
    <w:r>
      <w:rPr>
        <w:rFonts w:ascii="Arial" w:cs="Arial" w:eastAsia="Arial" w:hAnsi="Arial"/>
        <w:color w:val="666666"/>
        <w:sz w:val="18"/>
        <w:szCs w:val="18"/>
      </w:rPr>
      <w:t xml:space="preserve">	Cavaridge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2026-03-16T23:05:30.610Z</dcterms:created>
  <dcterms:modified xsi:type="dcterms:W3CDTF">2026-03-16T23:05:30.611Z</dcterms:modified>
</cp:coreProperties>
</file>

<file path=docProps/custom.xml><?xml version="1.0" encoding="utf-8"?>
<Properties xmlns="http://schemas.openxmlformats.org/officeDocument/2006/custom-properties" xmlns:vt="http://schemas.openxmlformats.org/officeDocument/2006/docPropsVTypes"/>
</file>