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2A4A"/>
          <w:sz w:val="48"/>
          <w:szCs w:val="48"/>
        </w:rPr>
        <w:t xml:space="preserve">CVG-MERIDIAN</w:t>
      </w:r>
    </w:p>
    <w:p>
      <w:pPr>
        <w:pBdr>
          <w:bottom w:val="single" w:color="2E75B6" w:sz="6" w:space="8"/>
        </w:pBdr>
        <w:spacing w:after="200"/>
        <w:jc w:val="center"/>
      </w:pPr>
      <w:r>
        <w:rPr>
          <w:rFonts w:ascii="Arial" w:cs="Arial" w:eastAsia="Arial" w:hAnsi="Arial"/>
          <w:color w:val="2E75B6"/>
          <w:sz w:val="30"/>
          <w:szCs w:val="30"/>
        </w:rPr>
        <w:t xml:space="preserve">Labor Rate Justification &amp; Benchmark Analysis</w:t>
      </w:r>
    </w:p>
    <w:p>
      <w:pPr>
        <w:spacing w:before="4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1B2A4A"/>
                <w:sz w:val="20"/>
                <w:szCs w:val="20"/>
              </w:rPr>
              <w:t xml:space="preserve">Document</w:t>
            </w:r>
          </w:p>
        </w:tc>
        <w:tc>
          <w:tcPr>
            <w:tcW w:type="dxa" w:w="3400"/>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CVG-MERIDIAN-RATES-v1.0.0-20260305</w:t>
            </w:r>
          </w:p>
        </w:tc>
      </w:tr>
      <w:tr>
        <w:tc>
          <w:tcPr>
            <w:tcW w:type="dxa" w:w="2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1B2A4A"/>
                <w:sz w:val="20"/>
                <w:szCs w:val="20"/>
              </w:rPr>
              <w:t xml:space="preserve">Owner</w:t>
            </w:r>
          </w:p>
        </w:tc>
        <w:tc>
          <w:tcPr>
            <w:tcW w:type="dxa" w:w="3400"/>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Cavaridge, LLC</w:t>
            </w:r>
          </w:p>
        </w:tc>
      </w:tr>
      <w:tr>
        <w:tc>
          <w:tcPr>
            <w:tcW w:type="dxa" w:w="2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1B2A4A"/>
                <w:sz w:val="20"/>
                <w:szCs w:val="20"/>
              </w:rPr>
              <w:t xml:space="preserve">Classification</w:t>
            </w:r>
          </w:p>
        </w:tc>
        <w:tc>
          <w:tcPr>
            <w:tcW w:type="dxa" w:w="3400"/>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Internal — Confidential</w:t>
            </w:r>
          </w:p>
        </w:tc>
      </w:tr>
      <w:tr>
        <w:tc>
          <w:tcPr>
            <w:tcW w:type="dxa" w:w="2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1B2A4A"/>
                <w:sz w:val="20"/>
                <w:szCs w:val="20"/>
              </w:rPr>
              <w:t xml:space="preserve">Governance</w:t>
            </w:r>
          </w:p>
        </w:tc>
        <w:tc>
          <w:tcPr>
            <w:tcW w:type="dxa" w:w="3400"/>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CVG-CORE-RB-v2.1.0-20260305</w:t>
            </w:r>
          </w:p>
        </w:tc>
      </w:tr>
      <w:tr>
        <w:tc>
          <w:tcPr>
            <w:tcW w:type="dxa" w:w="2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1B2A4A"/>
                <w:sz w:val="20"/>
                <w:szCs w:val="20"/>
              </w:rPr>
              <w:t xml:space="preserve">Purpose</w:t>
            </w:r>
          </w:p>
        </w:tc>
        <w:tc>
          <w:tcPr>
            <w:tcW w:type="dxa" w:w="3400"/>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Market-justified labor rates for Monte Carlo simulation, remediation cost estimates, and integration playbook costing</w:t>
            </w:r>
          </w:p>
        </w:tc>
      </w:tr>
    </w:tbl>
    <w:p>
      <w:pPr>
        <w:spacing w:before="800"/>
      </w:pPr>
    </w:p>
    <w:p>
      <w:pPr>
        <w:jc w:val="center"/>
      </w:pPr>
      <w:r>
        <w:rPr>
          <w:rFonts w:ascii="Arial" w:cs="Arial" w:eastAsia="Arial" w:hAnsi="Arial"/>
          <w:color w:val="666666"/>
          <w:sz w:val="20"/>
          <w:szCs w:val="20"/>
        </w:rPr>
        <w:t xml:space="preserve">Prepared: March 5, 2026</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120"/>
      </w:pPr>
      <w:r>
        <w:t xml:space="preserve">1. Executive Summary</w:t>
      </w:r>
    </w:p>
    <w:p>
      <w:pPr>
        <w:spacing w:after="160"/>
      </w:pPr>
      <w:r>
        <w:rPr>
          <w:rFonts w:ascii="Arial" w:cs="Arial" w:eastAsia="Arial" w:hAnsi="Arial"/>
          <w:sz w:val="22"/>
          <w:szCs w:val="22"/>
        </w:rPr>
        <w:t xml:space="preserve">This document establishes the market-justified labor rate structure for MERIDIAN’s Monte Carlo financial simulation, remediation cost estimates, and integration playbook costing. All rates are derived from </w:t>
      </w:r>
      <w:r>
        <w:rPr>
          <w:rFonts w:ascii="Arial" w:cs="Arial" w:eastAsia="Arial" w:hAnsi="Arial"/>
          <w:b/>
          <w:bCs/>
          <w:sz w:val="22"/>
          <w:szCs w:val="22"/>
        </w:rPr>
        <w:t xml:space="preserve">current 2025–2026 market data</w:t>
      </w:r>
      <w:r>
        <w:rPr>
          <w:rFonts w:ascii="Arial" w:cs="Arial" w:eastAsia="Arial" w:hAnsi="Arial"/>
          <w:sz w:val="22"/>
          <w:szCs w:val="22"/>
        </w:rPr>
        <w:t xml:space="preserve"> across IT consulting benchmarks, fractional CTO/vCIO market surveys, MSP labor cost analysis, and PE-adjacent due diligence engagement pricing.</w:t>
      </w:r>
    </w:p>
    <w:p>
      <w:pPr>
        <w:spacing w:after="160"/>
      </w:pPr>
      <w:r>
        <w:rPr>
          <w:rFonts w:ascii="Arial" w:cs="Arial" w:eastAsia="Arial" w:hAnsi="Arial"/>
          <w:b/>
          <w:bCs/>
          <w:sz w:val="22"/>
          <w:szCs w:val="22"/>
        </w:rPr>
        <w:t xml:space="preserve">The floor rate of $185/hr for senior engineering work </w:t>
      </w:r>
      <w:r>
        <w:rPr>
          <w:rFonts w:ascii="Arial" w:cs="Arial" w:eastAsia="Arial" w:hAnsi="Arial"/>
          <w:sz w:val="22"/>
          <w:szCs w:val="22"/>
        </w:rPr>
        <w:t xml:space="preserve">is positioned at the midpoint of current US market rates for senior IT consultants ($120–$300+/hr) and reflects the specialized, M&amp;A-adjacent nature of the work being estimated. This is </w:t>
      </w:r>
      <w:r>
        <w:rPr>
          <w:rFonts w:ascii="Arial" w:cs="Arial" w:eastAsia="Arial" w:hAnsi="Arial"/>
          <w:i/>
          <w:iCs/>
          <w:sz w:val="22"/>
          <w:szCs w:val="22"/>
        </w:rPr>
        <w:t xml:space="preserve">not </w:t>
      </w:r>
      <w:r>
        <w:rPr>
          <w:rFonts w:ascii="Arial" w:cs="Arial" w:eastAsia="Arial" w:hAnsi="Arial"/>
          <w:sz w:val="22"/>
          <w:szCs w:val="22"/>
        </w:rPr>
        <w:t xml:space="preserve">a premium rate — it is a defensible market-median rate for the caliber of work MERIDIAN’s assessments scope.</w:t>
      </w:r>
    </w:p>
    <w:p>
      <w:pPr>
        <w:pStyle w:val="Heading1"/>
        <w:spacing w:before="360" w:after="120"/>
      </w:pPr>
      <w:r>
        <w:t xml:space="preserve">2. Recommended Rate Structure</w:t>
      </w:r>
    </w:p>
    <w:p>
      <w:pPr>
        <w:spacing w:after="160"/>
      </w:pPr>
      <w:r>
        <w:rPr>
          <w:rFonts w:ascii="Arial" w:cs="Arial" w:eastAsia="Arial" w:hAnsi="Arial"/>
          <w:sz w:val="22"/>
          <w:szCs w:val="22"/>
        </w:rPr>
        <w:t xml:space="preserve">The following rate tiers are recommended as MERIDIAN’s default configuration for cost modeling. These rates should be configurable per-organization to allow acquirers with different labor cost assumptions to adjust based on geography and preferred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 Task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Senior IT Engineer (Remediation)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$185/hr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Floor rate. Senior IT consultants in the US command $100–$200+/hr (ScaleUpAlly 2025). Expert-level consultants range $120–$300+/hr (KodyTechnoLab 2026). At $185, this is mid-range for senior infrastructure and systems remediation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IT Due Diligence Consultant (Assessment)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$225/hr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Freelancermap 2025 global survey: consulting/management specialists averaged ~$130/hr, with 8+ year practitioners advised to floor at $150–$200/hr. IT DD is specialized M&amp;A work commanding a premium above generic consulting. Healthcare/financial services work attracts 30–50% premiums.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vCIO / Fractional CTO (Strategic Oversight)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$275/hr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Fractional CTOs charge $150–$500/hr typically (multiple 2025–2026 sources). 2026 market range: $120–$300/hr (EmizenTech). A vCIO leading IT DD for PE with IC-grade deliverables sits squarely in the $250–$350 band.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Integration Project Management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$200/hr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Post-close integration planning blends technical knowledge with change management. Positioned between senior engineer and vCIO tiers. Consistent with mid-senior IT consulting firm rates ($150–$300/hr).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Blended Rate (Simplified Estimates)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5B6"/>
                <w:sz w:val="20"/>
                <w:szCs w:val="20"/>
              </w:rPr>
              <w:t xml:space="preserve">$210/hr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Weighted average across role mix for single-rate cost modeling when role-level granularity is not required.</w:t>
            </w:r>
          </w:p>
        </w:tc>
      </w:tr>
    </w:tbl>
    <w:p>
      <w:pPr>
        <w:spacing w:after="120"/>
      </w:pPr>
    </w:p>
    <w:p>
      <w:pPr>
        <w:pStyle w:val="Heading1"/>
        <w:spacing w:before="360" w:after="120"/>
      </w:pPr>
      <w:r>
        <w:t xml:space="preserve">3. Market Evidence</w:t>
      </w:r>
    </w:p>
    <w:p>
      <w:pPr>
        <w:pStyle w:val="Heading2"/>
        <w:spacing w:before="240" w:after="120"/>
      </w:pPr>
      <w:r>
        <w:t xml:space="preserve">3.1 Senior IT Consulting Rates (US Market,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Rate Range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ScaleUpAlly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Senior IT Consultants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$100–$200+/hr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Nov 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ScaleUpAlly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IT Consulting Firms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$150–$300+/hr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Nov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KodyTechnoLab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Expert-Level IT Consultants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$120–$300+/hr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Jan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Freelancermap Global Survey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Consulting/Mgmt Specialists (3,571 respondents)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~$130/hr avg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Freelancermap / Practitioner Forums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Independent 8+ yr Practitioners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$150–$200/hr floor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2025–2026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Clutch.co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IT Services Companies (avg)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$100–$149/hr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Mar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Modernization Intel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Healthcare/FinServ Specialists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30–50% above generalist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Feb 2026</w:t>
            </w:r>
          </w:p>
        </w:tc>
      </w:tr>
    </w:tbl>
    <w:p>
      <w:pPr>
        <w:spacing w:after="200"/>
      </w:pPr>
    </w:p>
    <w:p>
      <w:pPr>
        <w:pStyle w:val="Heading2"/>
        <w:spacing w:before="240" w:after="120"/>
      </w:pPr>
      <w:r>
        <w:t xml:space="preserve">3.2 Fractional CTO / vCIO Market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Rate Range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Alberto Sadde (Guide)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Fractional CTO typical range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$150–$500/hr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Jan 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EmizenTech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Fractional CTO hourly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$120–$300/hr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Feb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 CTO Club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Fractional CTO hourly/retainer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$150–$500/hr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Jan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Nascenia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Fractional CTO general range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$150–$300/hr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Sep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Nascenia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Technical DD for VC/PE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Up to $1,000/hr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Sep 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CTOx / ROI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Fractional CTO engagement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$180–$400/hr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Apr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UX Continuum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US/UK Fractional CTO (2026)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$200–$500/hr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Jan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CodPal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US Fractional CTO average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$100–$250/hr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Apr 2025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BLS (2024 data)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CTO median pay (full-time equiv)</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$78.88/hr 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2024</w:t>
            </w:r>
          </w:p>
        </w:tc>
      </w:tr>
    </w:tbl>
    <w:p>
      <w:pPr>
        <w:spacing w:after="200"/>
      </w:pPr>
    </w:p>
    <w:p>
      <w:pPr>
        <w:pStyle w:val="Heading2"/>
        <w:spacing w:before="240" w:after="120"/>
      </w:pPr>
      <w:r>
        <w:t xml:space="preserve">3.3 Big 4 / MBB Comparison Point</w:t>
      </w:r>
    </w:p>
    <w:p>
      <w:pPr>
        <w:spacing w:after="160"/>
      </w:pPr>
      <w:r>
        <w:rPr>
          <w:rFonts w:ascii="Arial" w:cs="Arial" w:eastAsia="Arial" w:hAnsi="Arial"/>
          <w:sz w:val="22"/>
          <w:szCs w:val="22"/>
        </w:rPr>
        <w:t xml:space="preserve">The Big 4 firms (Deloitte, PwC, EY, KPMG) and MBB firms (McKinsey, Bain, BCG) all offer technology due diligence as a core PE advisory service. Their billing rates provide the upper bound of the market and the primary competitive comparison for MERIDIAN’s value proposition.</w:t>
      </w:r>
    </w:p>
    <w:p>
      <w:pPr>
        <w:pStyle w:val="ListParagraph"/>
        <w:numPr>
          <w:ilvl w:val="0"/>
          <w:numId w:val="2"/>
        </w:numPr>
        <w:spacing w:after="100"/>
      </w:pPr>
      <w:r>
        <w:rPr>
          <w:rFonts w:ascii="Arial" w:cs="Arial" w:eastAsia="Arial" w:hAnsi="Arial"/>
          <w:sz w:val="22"/>
          <w:szCs w:val="22"/>
        </w:rPr>
        <w:t xml:space="preserve">Big 4 consultant billing rate (3+ YOE): $300–$500/hr to client (Quora, industry sources)</w:t>
      </w:r>
    </w:p>
    <w:p>
      <w:pPr>
        <w:pStyle w:val="ListParagraph"/>
        <w:numPr>
          <w:ilvl w:val="0"/>
          <w:numId w:val="2"/>
        </w:numPr>
        <w:spacing w:after="100"/>
      </w:pPr>
      <w:r>
        <w:rPr>
          <w:rFonts w:ascii="Arial" w:cs="Arial" w:eastAsia="Arial" w:hAnsi="Arial"/>
          <w:sz w:val="22"/>
          <w:szCs w:val="22"/>
        </w:rPr>
        <w:t xml:space="preserve">Big 4 partner billing rate: $800–$1,200+/hr to client</w:t>
      </w:r>
    </w:p>
    <w:p>
      <w:pPr>
        <w:pStyle w:val="ListParagraph"/>
        <w:numPr>
          <w:ilvl w:val="0"/>
          <w:numId w:val="2"/>
        </w:numPr>
        <w:spacing w:after="100"/>
      </w:pPr>
      <w:r>
        <w:rPr>
          <w:rFonts w:ascii="Arial" w:cs="Arial" w:eastAsia="Arial" w:hAnsi="Arial"/>
          <w:sz w:val="22"/>
          <w:szCs w:val="22"/>
        </w:rPr>
        <w:t xml:space="preserve">Typical IT DD engagement (mid-market deal): $50K–$500K+ over 3–8 weeks</w:t>
      </w:r>
    </w:p>
    <w:p>
      <w:pPr>
        <w:pStyle w:val="ListParagraph"/>
        <w:numPr>
          <w:ilvl w:val="0"/>
          <w:numId w:val="2"/>
        </w:numPr>
        <w:spacing w:after="200"/>
      </w:pPr>
      <w:r>
        <w:rPr>
          <w:rFonts w:ascii="Arial" w:cs="Arial" w:eastAsia="Arial" w:hAnsi="Arial"/>
          <w:sz w:val="22"/>
          <w:szCs w:val="22"/>
        </w:rPr>
        <w:t xml:space="preserve">Total DD costs: 0.5%–2% of deal value across all workstreams (Peony, Feb 2025)</w:t>
      </w:r>
    </w:p>
    <w:p>
      <w:pPr>
        <w:pStyle w:val="Heading2"/>
        <w:spacing w:before="240" w:after="120"/>
      </w:pPr>
      <w:r>
        <w:t xml:space="preserve">3.4 MSP Labor Cost Baseline</w:t>
      </w:r>
    </w:p>
    <w:p>
      <w:pPr>
        <w:spacing w:after="160"/>
      </w:pPr>
      <w:r>
        <w:rPr>
          <w:rFonts w:ascii="Arial" w:cs="Arial" w:eastAsia="Arial" w:hAnsi="Arial"/>
          <w:sz w:val="22"/>
          <w:szCs w:val="22"/>
        </w:rPr>
        <w:t xml:space="preserve">MSP labor economics provide the cost floor from which billing rates are derived. Understanding fully burdened labor costs validates that $185/hr is not inflated but is the minimum sustainable rate for profitable senior engineering delivery.</w:t>
      </w:r>
    </w:p>
    <w:p>
      <w:pPr>
        <w:pStyle w:val="ListParagraph"/>
        <w:numPr>
          <w:ilvl w:val="0"/>
          <w:numId w:val="2"/>
        </w:numPr>
        <w:spacing w:after="100"/>
      </w:pPr>
      <w:r>
        <w:rPr>
          <w:rFonts w:ascii="Arial" w:cs="Arial" w:eastAsia="Arial" w:hAnsi="Arial"/>
          <w:sz w:val="22"/>
          <w:szCs w:val="22"/>
        </w:rPr>
        <w:t xml:space="preserve">Labor costs represent 50–60% of an MSP’s total expenses (WifiTalents, 2026 benchmark data)</w:t>
      </w:r>
    </w:p>
    <w:p>
      <w:pPr>
        <w:pStyle w:val="ListParagraph"/>
        <w:numPr>
          <w:ilvl w:val="0"/>
          <w:numId w:val="2"/>
        </w:numPr>
        <w:spacing w:after="100"/>
      </w:pPr>
      <w:r>
        <w:rPr>
          <w:rFonts w:ascii="Arial" w:cs="Arial" w:eastAsia="Arial" w:hAnsi="Arial"/>
          <w:sz w:val="22"/>
          <w:szCs w:val="22"/>
        </w:rPr>
        <w:t xml:space="preserve">MSP senior engineers earn $93K–$150K base salary (Glassdoor, Feb 2026)</w:t>
      </w:r>
    </w:p>
    <w:p>
      <w:pPr>
        <w:pStyle w:val="ListParagraph"/>
        <w:numPr>
          <w:ilvl w:val="0"/>
          <w:numId w:val="2"/>
        </w:numPr>
        <w:spacing w:after="100"/>
      </w:pPr>
      <w:r>
        <w:rPr>
          <w:rFonts w:ascii="Arial" w:cs="Arial" w:eastAsia="Arial" w:hAnsi="Arial"/>
          <w:sz w:val="22"/>
          <w:szCs w:val="22"/>
        </w:rPr>
        <w:t xml:space="preserve">Fully burdened cost (salary + benefits + overhead + tools): ~$90–$110/hr</w:t>
      </w:r>
    </w:p>
    <w:p>
      <w:pPr>
        <w:pStyle w:val="ListParagraph"/>
        <w:numPr>
          <w:ilvl w:val="0"/>
          <w:numId w:val="2"/>
        </w:numPr>
        <w:spacing w:after="100"/>
      </w:pPr>
      <w:r>
        <w:rPr>
          <w:rFonts w:ascii="Arial" w:cs="Arial" w:eastAsia="Arial" w:hAnsi="Arial"/>
          <w:sz w:val="22"/>
          <w:szCs w:val="22"/>
        </w:rPr>
        <w:t xml:space="preserve">Standard multiplier for healthy margins: 1.7–2.0x fully burdened cost</w:t>
      </w:r>
    </w:p>
    <w:p>
      <w:pPr>
        <w:pStyle w:val="ListParagraph"/>
        <w:numPr>
          <w:ilvl w:val="0"/>
          <w:numId w:val="2"/>
        </w:numPr>
        <w:spacing w:after="100"/>
      </w:pPr>
      <w:r>
        <w:rPr>
          <w:rFonts w:ascii="Arial" w:cs="Arial" w:eastAsia="Arial" w:hAnsi="Arial"/>
          <w:sz w:val="22"/>
          <w:szCs w:val="22"/>
        </w:rPr>
        <w:t xml:space="preserve">Resulting client-facing rate: $155–$220/hr</w:t>
      </w:r>
    </w:p>
    <w:p>
      <w:pPr>
        <w:pStyle w:val="ListParagraph"/>
        <w:numPr>
          <w:ilvl w:val="0"/>
          <w:numId w:val="2"/>
        </w:numPr>
        <w:spacing w:after="200"/>
      </w:pPr>
      <w:r>
        <w:rPr>
          <w:rFonts w:ascii="Arial" w:cs="Arial" w:eastAsia="Arial" w:hAnsi="Arial"/>
          <w:sz w:val="22"/>
          <w:szCs w:val="22"/>
        </w:rPr>
        <w:t xml:space="preserve">High-performing MSPs target 18%+ net profit margin (WifiTalents)</w:t>
      </w:r>
    </w:p>
    <w:p>
      <w:pPr>
        <w:pStyle w:val="Heading1"/>
        <w:spacing w:before="360" w:after="120"/>
      </w:pPr>
      <w:r>
        <w:t xml:space="preserve">4. Why $185/hr is the Floor, Not the Ceiling</w:t>
      </w:r>
    </w:p>
    <w:p>
      <w:pPr>
        <w:pStyle w:val="Heading2"/>
        <w:spacing w:before="240" w:after="120"/>
      </w:pPr>
      <w:r>
        <w:t xml:space="preserve">4.1 Consulting Engagement Rates vs. Salary Equivalents</w:t>
      </w:r>
    </w:p>
    <w:p>
      <w:pPr>
        <w:spacing w:after="160"/>
      </w:pPr>
      <w:r>
        <w:rPr>
          <w:rFonts w:ascii="Arial" w:cs="Arial" w:eastAsia="Arial" w:hAnsi="Arial"/>
          <w:sz w:val="22"/>
          <w:szCs w:val="22"/>
        </w:rPr>
        <w:t xml:space="preserve">Salary aggregators like ZipRecruiter report W-2 employee wages ($27–$70/hr for MSP roles, $41/hr for “due diligence consultants”). These figures reflect what the employee takes home, not the rate billed to clients. The billed rate includes overhead, margin, tools, insurance, and profit. The 2–3x multiplier from employee wage to client billing rate is standard across professional services.</w:t>
      </w:r>
    </w:p>
    <w:p>
      <w:pPr>
        <w:pStyle w:val="Heading2"/>
        <w:spacing w:before="240" w:after="120"/>
      </w:pPr>
      <w:r>
        <w:t xml:space="preserve">4.2 Regulated and M&amp;A-Adjacent Premium</w:t>
      </w:r>
    </w:p>
    <w:p>
      <w:pPr>
        <w:spacing w:after="160"/>
      </w:pPr>
      <w:r>
        <w:rPr>
          <w:rFonts w:ascii="Arial" w:cs="Arial" w:eastAsia="Arial" w:hAnsi="Arial"/>
          <w:sz w:val="22"/>
          <w:szCs w:val="22"/>
        </w:rPr>
        <w:t xml:space="preserve">MERIDIAN’s target verticals — Healthcare, Financial Services, Manufacturing — all carry regulatory and compliance complexity. Market data consistently shows that healthcare and financial services IT consulting commands a 30–50% premium above generalist rates. M&amp;A-specific work adds additional premium due to compressed timelines, investment-committee-grade deliverable requirements, and the fiduciary context of the engagement.</w:t>
      </w:r>
    </w:p>
    <w:p>
      <w:pPr>
        <w:pStyle w:val="Heading2"/>
        <w:spacing w:before="240" w:after="120"/>
      </w:pPr>
      <w:r>
        <w:t xml:space="preserve">4.3 AI is Compressing Junior Labor, Not Senior</w:t>
      </w:r>
    </w:p>
    <w:p>
      <w:pPr>
        <w:spacing w:after="160"/>
      </w:pPr>
      <w:r>
        <w:rPr>
          <w:rFonts w:ascii="Arial" w:cs="Arial" w:eastAsia="Arial" w:hAnsi="Arial"/>
          <w:sz w:val="22"/>
          <w:szCs w:val="22"/>
        </w:rPr>
        <w:t xml:space="preserve">Current market analysis (Modernization Intel, Feb 2026) shows that AI-assisted coding tools are compressing entry and mid-level developer hours, but this has increased demand for senior architects and strategists who define the approach and validate AI-generated output. Senior rates are rising, not falling. The remediation and integration work MERIDIAN estimates costs for is inherently senior-level work.</w:t>
      </w:r>
    </w:p>
    <w:p>
      <w:pPr>
        <w:pStyle w:val="Heading2"/>
        <w:spacing w:before="240" w:after="120"/>
      </w:pPr>
      <w:r>
        <w:t xml:space="preserve">4.4 Competitive Positioning Validates the Rates</w:t>
      </w:r>
    </w:p>
    <w:p>
      <w:pPr>
        <w:spacing w:after="160"/>
      </w:pPr>
      <w:r>
        <w:rPr>
          <w:rFonts w:ascii="Arial" w:cs="Arial" w:eastAsia="Arial" w:hAnsi="Arial"/>
          <w:sz w:val="22"/>
          <w:szCs w:val="22"/>
        </w:rPr>
        <w:t xml:space="preserve">MERIDIAN’s value proposition is not that it uses cheap labor — it’s that AI augmentation dramatically reduces the number of hours required. Using credible market rates strengthens this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IT DD Cost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MERIDIAN Advantage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Big 4 (EY, Deloitte, KPMG, PwC)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$150K–$500K+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4–8 weeks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70–90% cost reduction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Boutique IT DD Firm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$50K–$150K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3–6 weeks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50–75% cost reduction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MERIDIAN (AI-Augmented)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$15K–$50K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E7D32"/>
                <w:sz w:val="20"/>
                <w:szCs w:val="20"/>
              </w:rPr>
              <w:t xml:space="preserve">1–2 weeks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t>
            </w:r>
          </w:p>
        </w:tc>
      </w:tr>
    </w:tbl>
    <w:p>
      <w:pPr>
        <w:spacing w:after="200"/>
      </w:pPr>
    </w:p>
    <w:p>
      <w:pPr>
        <w:spacing w:after="160"/>
      </w:pPr>
      <w:r>
        <w:rPr>
          <w:rFonts w:ascii="Arial" w:cs="Arial" w:eastAsia="Arial" w:hAnsi="Arial"/>
          <w:sz w:val="22"/>
          <w:szCs w:val="22"/>
        </w:rPr>
        <w:t xml:space="preserve">At $225/hr for assessment work, a MERIDIAN-powered engagement might consume 40–80 analyst hours versus 200–400+ hours at a Big 4 firm. The rate is credible; the efficiency is the differentiator.</w:t>
      </w:r>
    </w:p>
    <w:p>
      <w:pPr>
        <w:pStyle w:val="Heading1"/>
        <w:spacing w:before="360" w:after="120"/>
      </w:pPr>
      <w:r>
        <w:t xml:space="preserve">5. MERIDIAN Platform Configuration Defaults</w:t>
      </w:r>
    </w:p>
    <w:p>
      <w:pPr>
        <w:spacing w:after="160"/>
      </w:pPr>
      <w:r>
        <w:rPr>
          <w:rFonts w:ascii="Arial" w:cs="Arial" w:eastAsia="Arial" w:hAnsi="Arial"/>
          <w:sz w:val="22"/>
          <w:szCs w:val="22"/>
        </w:rPr>
        <w:t xml:space="preserve">The following values should be implemented as the platform-default labor rate configuration, stored in organization-scoped settings to allow per-acquirer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 Key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senior_engineer_rate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$185/hr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$185/hr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Hands-on infrastructure, migration, remediation. Floor rate — never below.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dd_consultant_rate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$225/hr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$185/hr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Assessment, analysis, risk evaluation, report writing.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vcio_rate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$275/hr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$200/hr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Strategic oversight, IC presentations, deal advisory, playbook design.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integration_pm_rate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$200/hr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$185/hr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Post-close integration project management.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blended_rate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$210/hr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$185/hr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Weighted average for simplified single-rate cost estimates.</w:t>
            </w:r>
          </w:p>
        </w:tc>
      </w:tr>
    </w:tbl>
    <w:p>
      <w:pPr>
        <w:spacing w:after="200"/>
      </w:pPr>
    </w:p>
    <w:p>
      <w:pPr>
        <w:spacing w:after="160"/>
      </w:pPr>
      <w:r>
        <w:rPr>
          <w:rFonts w:ascii="Arial" w:cs="Arial" w:eastAsia="Arial" w:hAnsi="Arial"/>
          <w:sz w:val="22"/>
          <w:szCs w:val="22"/>
        </w:rPr>
        <w:t xml:space="preserve">Configuration scope: These rates are stored at the organization level. Platform defaults are used when an organization has not configured custom rates. Organizations can override any rate but cannot set values below the defined minimum.</w:t>
      </w:r>
    </w:p>
    <w:p>
      <w:pPr>
        <w:pStyle w:val="Heading1"/>
        <w:spacing w:before="360" w:after="120"/>
      </w:pPr>
      <w:r>
        <w:t xml:space="preserve">6. Source Index</w:t>
      </w:r>
    </w:p>
    <w:p>
      <w:pPr>
        <w:spacing w:after="160"/>
      </w:pPr>
      <w:r>
        <w:rPr>
          <w:rFonts w:ascii="Arial" w:cs="Arial" w:eastAsia="Arial" w:hAnsi="Arial"/>
          <w:sz w:val="22"/>
          <w:szCs w:val="22"/>
        </w:rPr>
        <w:t xml:space="preserve">Rates in this document are triangulated from the following sources, all accessed between February and March 2026:</w:t>
      </w:r>
    </w:p>
    <w:p>
      <w:pPr>
        <w:pStyle w:val="ListParagraph"/>
        <w:numPr>
          <w:ilvl w:val="0"/>
          <w:numId w:val="3"/>
        </w:numPr>
        <w:spacing w:after="60"/>
      </w:pPr>
      <w:r>
        <w:rPr>
          <w:rFonts w:ascii="Arial" w:cs="Arial" w:eastAsia="Arial" w:hAnsi="Arial"/>
          <w:sz w:val="20"/>
          <w:szCs w:val="20"/>
        </w:rPr>
        <w:t xml:space="preserve">Freelancermap 2025 Global IT Freelancer Survey (3,571 professionals, 73 countries)</w:t>
      </w:r>
    </w:p>
    <w:p>
      <w:pPr>
        <w:pStyle w:val="ListParagraph"/>
        <w:numPr>
          <w:ilvl w:val="0"/>
          <w:numId w:val="3"/>
        </w:numPr>
        <w:spacing w:after="60"/>
      </w:pPr>
      <w:r>
        <w:rPr>
          <w:rFonts w:ascii="Arial" w:cs="Arial" w:eastAsia="Arial" w:hAnsi="Arial"/>
          <w:sz w:val="20"/>
          <w:szCs w:val="20"/>
        </w:rPr>
        <w:t xml:space="preserve">Metrics 2025 IT Consulting Report (European daily rates)</w:t>
      </w:r>
    </w:p>
    <w:p>
      <w:pPr>
        <w:pStyle w:val="ListParagraph"/>
        <w:numPr>
          <w:ilvl w:val="0"/>
          <w:numId w:val="3"/>
        </w:numPr>
        <w:spacing w:after="60"/>
      </w:pPr>
      <w:r>
        <w:rPr>
          <w:rFonts w:ascii="Arial" w:cs="Arial" w:eastAsia="Arial" w:hAnsi="Arial"/>
          <w:sz w:val="20"/>
          <w:szCs w:val="20"/>
        </w:rPr>
        <w:t xml:space="preserve">ScaleUpAlly — IT Consulting Rates Per Hour (November 2025)</w:t>
      </w:r>
    </w:p>
    <w:p>
      <w:pPr>
        <w:pStyle w:val="ListParagraph"/>
        <w:numPr>
          <w:ilvl w:val="0"/>
          <w:numId w:val="3"/>
        </w:numPr>
        <w:spacing w:after="60"/>
      </w:pPr>
      <w:r>
        <w:rPr>
          <w:rFonts w:ascii="Arial" w:cs="Arial" w:eastAsia="Arial" w:hAnsi="Arial"/>
          <w:sz w:val="20"/>
          <w:szCs w:val="20"/>
        </w:rPr>
        <w:t xml:space="preserve">KodyTechnoLab — IT Consulting Hourly Rates 2026 (January 2026)</w:t>
      </w:r>
    </w:p>
    <w:p>
      <w:pPr>
        <w:pStyle w:val="ListParagraph"/>
        <w:numPr>
          <w:ilvl w:val="0"/>
          <w:numId w:val="3"/>
        </w:numPr>
        <w:spacing w:after="60"/>
      </w:pPr>
      <w:r>
        <w:rPr>
          <w:rFonts w:ascii="Arial" w:cs="Arial" w:eastAsia="Arial" w:hAnsi="Arial"/>
          <w:sz w:val="20"/>
          <w:szCs w:val="20"/>
        </w:rPr>
        <w:t xml:space="preserve">Clutch.co — IT Services Pricing Guide (March 2026)</w:t>
      </w:r>
    </w:p>
    <w:p>
      <w:pPr>
        <w:pStyle w:val="ListParagraph"/>
        <w:numPr>
          <w:ilvl w:val="0"/>
          <w:numId w:val="3"/>
        </w:numPr>
        <w:spacing w:after="60"/>
      </w:pPr>
      <w:r>
        <w:rPr>
          <w:rFonts w:ascii="Arial" w:cs="Arial" w:eastAsia="Arial" w:hAnsi="Arial"/>
          <w:sz w:val="20"/>
          <w:szCs w:val="20"/>
        </w:rPr>
        <w:t xml:space="preserve">Modernization Intel — Application Modernization Consulting Rates Benchmark (February 2026)</w:t>
      </w:r>
    </w:p>
    <w:p>
      <w:pPr>
        <w:pStyle w:val="ListParagraph"/>
        <w:numPr>
          <w:ilvl w:val="0"/>
          <w:numId w:val="3"/>
        </w:numPr>
        <w:spacing w:after="60"/>
      </w:pPr>
      <w:r>
        <w:rPr>
          <w:rFonts w:ascii="Arial" w:cs="Arial" w:eastAsia="Arial" w:hAnsi="Arial"/>
          <w:sz w:val="20"/>
          <w:szCs w:val="20"/>
        </w:rPr>
        <w:t xml:space="preserve">Peony — Due Diligence Cost Breakdown 2025 (February 2025)</w:t>
      </w:r>
    </w:p>
    <w:p>
      <w:pPr>
        <w:pStyle w:val="ListParagraph"/>
        <w:numPr>
          <w:ilvl w:val="0"/>
          <w:numId w:val="3"/>
        </w:numPr>
        <w:spacing w:after="60"/>
      </w:pPr>
      <w:r>
        <w:rPr>
          <w:rFonts w:ascii="Arial" w:cs="Arial" w:eastAsia="Arial" w:hAnsi="Arial"/>
          <w:sz w:val="20"/>
          <w:szCs w:val="20"/>
        </w:rPr>
        <w:t xml:space="preserve">Alberto Sadde — Fractional CTO Benefits, Rates &amp; When to Hire (January 2025)</w:t>
      </w:r>
    </w:p>
    <w:p>
      <w:pPr>
        <w:pStyle w:val="ListParagraph"/>
        <w:numPr>
          <w:ilvl w:val="0"/>
          <w:numId w:val="3"/>
        </w:numPr>
        <w:spacing w:after="60"/>
      </w:pPr>
      <w:r>
        <w:rPr>
          <w:rFonts w:ascii="Arial" w:cs="Arial" w:eastAsia="Arial" w:hAnsi="Arial"/>
          <w:sz w:val="20"/>
          <w:szCs w:val="20"/>
        </w:rPr>
        <w:t xml:space="preserve">EmizenTech — Fractional CTO Rates: Complete Pricing Guide 2026 (February 2026)</w:t>
      </w:r>
    </w:p>
    <w:p>
      <w:pPr>
        <w:pStyle w:val="ListParagraph"/>
        <w:numPr>
          <w:ilvl w:val="0"/>
          <w:numId w:val="3"/>
        </w:numPr>
        <w:spacing w:after="60"/>
      </w:pPr>
      <w:r>
        <w:rPr>
          <w:rFonts w:ascii="Arial" w:cs="Arial" w:eastAsia="Arial" w:hAnsi="Arial"/>
          <w:sz w:val="20"/>
          <w:szCs w:val="20"/>
        </w:rPr>
        <w:t xml:space="preserve">The CTO Club — Become a Fractional CTO: 2026 Role Guide (January 2026)</w:t>
      </w:r>
    </w:p>
    <w:p>
      <w:pPr>
        <w:pStyle w:val="ListParagraph"/>
        <w:numPr>
          <w:ilvl w:val="0"/>
          <w:numId w:val="3"/>
        </w:numPr>
        <w:spacing w:after="60"/>
      </w:pPr>
      <w:r>
        <w:rPr>
          <w:rFonts w:ascii="Arial" w:cs="Arial" w:eastAsia="Arial" w:hAnsi="Arial"/>
          <w:sz w:val="20"/>
          <w:szCs w:val="20"/>
        </w:rPr>
        <w:t xml:space="preserve">UX Continuum — Fractional CTO for Startups (January 2026)</w:t>
      </w:r>
    </w:p>
    <w:p>
      <w:pPr>
        <w:pStyle w:val="ListParagraph"/>
        <w:numPr>
          <w:ilvl w:val="0"/>
          <w:numId w:val="3"/>
        </w:numPr>
        <w:spacing w:after="60"/>
      </w:pPr>
      <w:r>
        <w:rPr>
          <w:rFonts w:ascii="Arial" w:cs="Arial" w:eastAsia="Arial" w:hAnsi="Arial"/>
          <w:sz w:val="20"/>
          <w:szCs w:val="20"/>
        </w:rPr>
        <w:t xml:space="preserve">CTOx — ROI of Fractional Tech Leadership: A Data Analysis (April 2025)</w:t>
      </w:r>
    </w:p>
    <w:p>
      <w:pPr>
        <w:pStyle w:val="ListParagraph"/>
        <w:numPr>
          <w:ilvl w:val="0"/>
          <w:numId w:val="3"/>
        </w:numPr>
        <w:spacing w:after="60"/>
      </w:pPr>
      <w:r>
        <w:rPr>
          <w:rFonts w:ascii="Arial" w:cs="Arial" w:eastAsia="Arial" w:hAnsi="Arial"/>
          <w:sz w:val="20"/>
          <w:szCs w:val="20"/>
        </w:rPr>
        <w:t xml:space="preserve">WifiTalents — MSP Data Reports 2026 (February 2026)</w:t>
      </w:r>
    </w:p>
    <w:p>
      <w:pPr>
        <w:pStyle w:val="ListParagraph"/>
        <w:numPr>
          <w:ilvl w:val="0"/>
          <w:numId w:val="3"/>
        </w:numPr>
        <w:spacing w:after="60"/>
      </w:pPr>
      <w:r>
        <w:rPr>
          <w:rFonts w:ascii="Arial" w:cs="Arial" w:eastAsia="Arial" w:hAnsi="Arial"/>
          <w:sz w:val="20"/>
          <w:szCs w:val="20"/>
        </w:rPr>
        <w:t xml:space="preserve">Glassdoor — MSP Engineer and MSP Support Engineer Salary Data (February 2026)</w:t>
      </w:r>
    </w:p>
    <w:p>
      <w:pPr>
        <w:pStyle w:val="ListParagraph"/>
        <w:numPr>
          <w:ilvl w:val="0"/>
          <w:numId w:val="3"/>
        </w:numPr>
        <w:spacing w:after="60"/>
      </w:pPr>
      <w:r>
        <w:rPr>
          <w:rFonts w:ascii="Arial" w:cs="Arial" w:eastAsia="Arial" w:hAnsi="Arial"/>
          <w:sz w:val="20"/>
          <w:szCs w:val="20"/>
        </w:rPr>
        <w:t xml:space="preserve">Bureau of Labor Statistics — CTO Median Pay (2024 data)</w:t>
      </w:r>
    </w:p>
    <w:p>
      <w:pPr>
        <w:pStyle w:val="ListParagraph"/>
        <w:numPr>
          <w:ilvl w:val="0"/>
          <w:numId w:val="3"/>
        </w:numPr>
        <w:spacing w:after="60"/>
      </w:pPr>
      <w:r>
        <w:rPr>
          <w:rFonts w:ascii="Arial" w:cs="Arial" w:eastAsia="Arial" w:hAnsi="Arial"/>
          <w:sz w:val="20"/>
          <w:szCs w:val="20"/>
        </w:rPr>
        <w:t xml:space="preserve">Consulting Success — Consulting Rates Guide (October 2025)</w:t>
      </w:r>
    </w:p>
    <w:p>
      <w:pPr>
        <w:pStyle w:val="ListParagraph"/>
        <w:numPr>
          <w:ilvl w:val="0"/>
          <w:numId w:val="3"/>
        </w:numPr>
        <w:spacing w:after="60"/>
      </w:pPr>
      <w:r>
        <w:rPr>
          <w:rFonts w:ascii="Arial" w:cs="Arial" w:eastAsia="Arial" w:hAnsi="Arial"/>
          <w:sz w:val="20"/>
          <w:szCs w:val="20"/>
        </w:rPr>
        <w:t xml:space="preserve">Nascenia — Hire a Fractional CTO for PE Companies (September 2025)</w:t>
      </w:r>
    </w:p>
    <w:p>
      <w:pPr>
        <w:spacing w:after="300"/>
      </w:pPr>
    </w:p>
    <w:p>
      <w:pPr>
        <w:pBdr>
          <w:top w:val="single" w:color="2E75B6" w:sz="4" w:space="8"/>
        </w:pBdr>
        <w:spacing w:before="200"/>
      </w:pPr>
      <w:r>
        <w:rPr>
          <w:rFonts w:ascii="Arial" w:cs="Arial" w:eastAsia="Arial" w:hAnsi="Arial"/>
          <w:i/>
          <w:iCs/>
          <w:color w:val="666666"/>
          <w:sz w:val="18"/>
          <w:szCs w:val="18"/>
        </w:rPr>
        <w:t xml:space="preserve">This document is governed by CVG-CORE. Rates should be reviewed and updated quarterly or when significant market shifts occur. Any deviation from the floor rate of $185/hr requires explicit approval documented in the CVG-CORE project.</w:t>
      </w:r>
    </w:p>
    <w:p>
      <w:pPr>
        <w:spacing w:before="80"/>
      </w:pPr>
      <w:r>
        <w:rPr>
          <w:rFonts w:ascii="Arial" w:cs="Arial" w:eastAsia="Arial" w:hAnsi="Arial"/>
          <w:i/>
          <w:iCs/>
          <w:color w:val="666666"/>
          <w:sz w:val="18"/>
          <w:szCs w:val="18"/>
        </w:rPr>
        <w:t xml:space="preserve">CVG-MERIDIAN-RATES-v1.0.0-20260305 — Cavaridge, LLC — Internal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jc w:val="center"/>
    </w:pPr>
    <w:r>
      <w:rPr>
        <w:rFonts w:ascii="Arial" w:cs="Arial" w:eastAsia="Arial" w:hAnsi="Arial"/>
        <w:color w:val="999999"/>
        <w:sz w:val="16"/>
        <w:szCs w:val="16"/>
      </w:rPr>
      <w:t xml:space="preserve">CVG-MERIDIAN-RATES-v1.0.0-20260305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Cavaridge, LLC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2026-03-05T19:56:38.431Z</dcterms:created>
  <dcterms:modified xsi:type="dcterms:W3CDTF">2026-03-05T19:56:38.432Z</dcterms:modified>
</cp:coreProperties>
</file>

<file path=docProps/custom.xml><?xml version="1.0" encoding="utf-8"?>
<Properties xmlns="http://schemas.openxmlformats.org/officeDocument/2006/custom-properties" xmlns:vt="http://schemas.openxmlformats.org/officeDocument/2006/docPropsVTypes"/>
</file>