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color w:val="555555"/>
          <w:sz w:val="20"/>
          <w:szCs w:val="20"/>
        </w:rPr>
        <w:t xml:space="preserve">CAVARIDGE, LLC</w:t>
      </w:r>
    </w:p>
    <w:p>
      <w:pPr>
        <w:spacing w:after="120"/>
        <w:jc w:val="center"/>
      </w:pPr>
      <w:r>
        <w:rPr>
          <w:rFonts w:ascii="Arial" w:cs="Arial" w:eastAsia="Arial" w:hAnsi="Arial"/>
          <w:b/>
          <w:bCs/>
          <w:color w:val="1B3A5C"/>
          <w:sz w:val="52"/>
          <w:szCs w:val="52"/>
        </w:rPr>
        <w:t xml:space="preserve">Engineering Brain</w:t>
      </w:r>
    </w:p>
    <w:p>
      <w:pPr>
        <w:spacing w:after="80"/>
        <w:jc w:val="center"/>
      </w:pPr>
      <w:r>
        <w:rPr>
          <w:rFonts w:ascii="Arial" w:cs="Arial" w:eastAsia="Arial" w:hAnsi="Arial"/>
          <w:color w:val="2E75B6"/>
          <w:sz w:val="28"/>
          <w:szCs w:val="28"/>
        </w:rPr>
        <w:t xml:space="preserve">Addendum: Integration Layer &amp; Model Intelligence</w:t>
      </w:r>
    </w:p>
    <w:p>
      <w:pPr>
        <w:spacing w:after="40"/>
        <w:jc w:val="center"/>
      </w:pPr>
      <w:r>
        <w:rPr>
          <w:rFonts w:ascii="Arial" w:cs="Arial" w:eastAsia="Arial" w:hAnsi="Arial"/>
          <w:color w:val="555555"/>
          <w:sz w:val="22"/>
          <w:szCs w:val="22"/>
        </w:rPr>
        <w:t xml:space="preserve">Application Code: CVG-BRAIN  —  Addendum A</w:t>
      </w:r>
    </w:p>
    <w:p>
      <w:pPr>
        <w:spacing w:after="40"/>
        <w:jc w:val="center"/>
      </w:pPr>
      <w:r>
        <w:rPr>
          <w:rFonts w:ascii="Arial" w:cs="Arial" w:eastAsia="Arial" w:hAnsi="Arial"/>
          <w:color w:val="555555"/>
          <w:sz w:val="20"/>
          <w:szCs w:val="20"/>
        </w:rPr>
        <w:t xml:space="preserve">Version 1.0  —  March 2026</w:t>
      </w:r>
    </w:p>
    <w:p>
      <w:pPr>
        <w:spacing w:after="300"/>
        <w:jc w:val="center"/>
      </w:pPr>
      <w:r>
        <w:rPr>
          <w:rFonts w:ascii="Arial" w:cs="Arial" w:eastAsia="Arial" w:hAnsi="Arial"/>
          <w:i/>
          <w:iCs/>
          <w:color w:val="555555"/>
          <w:sz w:val="18"/>
          <w:szCs w:val="18"/>
        </w:rPr>
        <w:t xml:space="preserve">Author: Benjamin Posner  |  Architect: Claude (Anthropic)</w:t>
      </w:r>
    </w:p>
    <w:p>
      <w:pPr>
        <w:pBdr>
          <w:top w:val="single" w:color="2E75B6" w:sz="2" w:space="8"/>
        </w:pBdr>
        <w:spacing w:before="200"/>
        <w:jc w:val="center"/>
      </w:pPr>
      <w:r>
        <w:rPr>
          <w:rFonts w:ascii="Arial" w:cs="Arial" w:eastAsia="Arial" w:hAnsi="Arial"/>
          <w:b/>
          <w:bCs/>
          <w:color w:val="CC0000"/>
          <w:sz w:val="18"/>
          <w:szCs w:val="18"/>
        </w:rPr>
        <w:t xml:space="preserve">CONFIDENTIAL — Cavaridge, LLC Proprietary</w:t>
      </w: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1. Purpose</w:t>
      </w:r>
    </w:p>
    <w:p>
      <w:pPr>
        <w:spacing w:after="120" w:line="276"/>
      </w:pPr>
      <w:r>
        <w:rPr>
          <w:rFonts w:ascii="Arial" w:cs="Arial" w:eastAsia="Arial" w:hAnsi="Arial"/>
          <w:color w:val="333333"/>
          <w:sz w:val="20"/>
          <w:szCs w:val="20"/>
        </w:rPr>
        <w:t xml:space="preserve">This addendum extends the CVG-BRAIN Architecture Specification v1.0 with two major subsystems:</w:t>
      </w:r>
    </w:p>
    <w:p>
      <w:pPr>
        <w:spacing w:after="120"/>
      </w:pPr>
    </w:p>
    <w:p>
      <w:pPr>
        <w:pStyle w:val="ListParagraph"/>
        <w:numPr>
          <w:ilvl w:val="0"/>
          <w:numId w:val="2"/>
        </w:numPr>
        <w:spacing w:after="60" w:line="276"/>
      </w:pPr>
      <w:r>
        <w:rPr>
          <w:rFonts w:ascii="Arial" w:cs="Arial" w:eastAsia="Arial" w:hAnsi="Arial"/>
          <w:b/>
          <w:bCs/>
          <w:color w:val="333333"/>
          <w:sz w:val="20"/>
          <w:szCs w:val="20"/>
        </w:rPr>
        <w:t xml:space="preserve">Integration Layer — </w:t>
      </w:r>
      <w:r>
        <w:rPr>
          <w:rFonts w:ascii="Arial" w:cs="Arial" w:eastAsia="Arial" w:hAnsi="Arial"/>
          <w:color w:val="333333"/>
          <w:sz w:val="20"/>
          <w:szCs w:val="20"/>
        </w:rPr>
        <w:t xml:space="preserve">A unified connector framework that pulls data from all sources where knowledge currently lives (Google Drive, Gmail, calendar, AI conversation exports, PSA/RMM tools, and more) into the Engineering Brain’s knowledge store as the single source of truth.</w:t>
      </w:r>
    </w:p>
    <w:p>
      <w:pPr>
        <w:pStyle w:val="ListParagraph"/>
        <w:numPr>
          <w:ilvl w:val="0"/>
          <w:numId w:val="2"/>
        </w:numPr>
        <w:spacing w:after="60" w:line="276"/>
      </w:pPr>
      <w:r>
        <w:rPr>
          <w:rFonts w:ascii="Arial" w:cs="Arial" w:eastAsia="Arial" w:hAnsi="Arial"/>
          <w:b/>
          <w:bCs/>
          <w:color w:val="333333"/>
          <w:sz w:val="20"/>
          <w:szCs w:val="20"/>
        </w:rPr>
        <w:t xml:space="preserve">Model Intelligence Engine — </w:t>
      </w:r>
      <w:r>
        <w:rPr>
          <w:rFonts w:ascii="Arial" w:cs="Arial" w:eastAsia="Arial" w:hAnsi="Arial"/>
          <w:color w:val="333333"/>
          <w:sz w:val="20"/>
          <w:szCs w:val="20"/>
        </w:rPr>
        <w:t xml:space="preserve">A dynamic model routing and orchestration system that selects the optimal LLM(s) for every query, validates outputs against the user’s own knowledge graph to minimize hallucinations, and uses multi-model consensus for high-stakes operations.</w:t>
      </w:r>
    </w:p>
    <w:p>
      <w:pPr>
        <w:spacing w:after="120"/>
      </w:pPr>
    </w:p>
    <w:p>
      <w:pPr>
        <w:spacing w:after="120" w:line="276"/>
      </w:pPr>
      <w:r>
        <w:rPr>
          <w:rFonts w:ascii="Arial" w:cs="Arial" w:eastAsia="Arial" w:hAnsi="Arial"/>
          <w:color w:val="333333"/>
          <w:sz w:val="20"/>
          <w:szCs w:val="20"/>
        </w:rPr>
        <w:t xml:space="preserve">Together, these subsystems solve two problems the base architecture left open: (1) knowledge is currently fragmented across many platforms and must be aggregated automatically, and (2) static model routing (“Claude for code, GPT for writing”) is too crude — the system must dynamically evaluate which model(s) produce the most accurate, grounded output for each specific task.</w:t>
      </w: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PART I: Integration Layer</w:t>
      </w:r>
    </w:p>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2. Integration Architecture</w:t>
      </w:r>
    </w:p>
    <w:p>
      <w:pPr>
        <w:spacing w:after="120" w:line="276"/>
      </w:pPr>
      <w:r>
        <w:rPr>
          <w:rFonts w:ascii="Arial" w:cs="Arial" w:eastAsia="Arial" w:hAnsi="Arial"/>
          <w:color w:val="333333"/>
          <w:sz w:val="20"/>
          <w:szCs w:val="20"/>
        </w:rPr>
        <w:t xml:space="preserve">The integration layer follows a connector-based architecture. Each data source has a dedicated connector that handles authentication, data retrieval, normalization, and ingestion into the knowledge store. All connectors share a common interface and feed into the same extraction pipeline used by voice dumps.</w:t>
      </w:r>
    </w:p>
    <w:p>
      <w:pPr>
        <w:spacing w:after="120"/>
      </w:pPr>
    </w:p>
    <w:p>
      <w:pPr>
        <w:pStyle w:val="Heading2"/>
        <w:spacing w:after="120" w:before="280"/>
      </w:pPr>
      <w:r>
        <w:rPr>
          <w:rFonts w:ascii="Arial" w:cs="Arial" w:eastAsia="Arial" w:hAnsi="Arial"/>
          <w:b/>
          <w:bCs/>
          <w:color w:val="1B3A5C"/>
          <w:sz w:val="24"/>
          <w:szCs w:val="24"/>
        </w:rPr>
        <w:t xml:space="preserve">2.1 Connector Interface</w:t>
      </w:r>
    </w:p>
    <w:p>
      <w:pPr>
        <w:spacing w:after="120" w:line="276"/>
      </w:pPr>
      <w:r>
        <w:rPr>
          <w:rFonts w:ascii="Arial" w:cs="Arial" w:eastAsia="Arial" w:hAnsi="Arial"/>
          <w:color w:val="333333"/>
          <w:sz w:val="20"/>
          <w:szCs w:val="20"/>
        </w:rPr>
        <w:t xml:space="preserve">Every connector implements a standard contract:</w:t>
      </w:r>
    </w:p>
    <w:p>
      <w:pPr>
        <w:spacing w:after="120"/>
      </w:pPr>
    </w:p>
    <w:p>
      <w:pPr>
        <w:pStyle w:val="ListParagraph"/>
        <w:numPr>
          <w:ilvl w:val="0"/>
          <w:numId w:val="3"/>
        </w:numPr>
        <w:spacing w:after="60" w:line="276"/>
      </w:pPr>
      <w:r>
        <w:rPr>
          <w:rFonts w:ascii="Arial" w:cs="Arial" w:eastAsia="Arial" w:hAnsi="Arial"/>
          <w:b/>
          <w:bCs/>
          <w:color w:val="333333"/>
          <w:sz w:val="20"/>
          <w:szCs w:val="20"/>
        </w:rPr>
        <w:t xml:space="preserve">authenticate() — </w:t>
      </w:r>
      <w:r>
        <w:rPr>
          <w:rFonts w:ascii="Arial" w:cs="Arial" w:eastAsia="Arial" w:hAnsi="Arial"/>
          <w:color w:val="333333"/>
          <w:sz w:val="20"/>
          <w:szCs w:val="20"/>
        </w:rPr>
        <w:t xml:space="preserve">Establishes OAuth2 or API key connection to the source. Credentials stored in Doppler, never in app config. Tokens refreshed automatically.</w:t>
      </w:r>
    </w:p>
    <w:p>
      <w:pPr>
        <w:pStyle w:val="ListParagraph"/>
        <w:numPr>
          <w:ilvl w:val="0"/>
          <w:numId w:val="3"/>
        </w:numPr>
        <w:spacing w:after="60" w:line="276"/>
      </w:pPr>
      <w:r>
        <w:rPr>
          <w:rFonts w:ascii="Arial" w:cs="Arial" w:eastAsia="Arial" w:hAnsi="Arial"/>
          <w:b/>
          <w:bCs/>
          <w:color w:val="333333"/>
          <w:sz w:val="20"/>
          <w:szCs w:val="20"/>
        </w:rPr>
        <w:t xml:space="preserve">discover() — </w:t>
      </w:r>
      <w:r>
        <w:rPr>
          <w:rFonts w:ascii="Arial" w:cs="Arial" w:eastAsia="Arial" w:hAnsi="Arial"/>
          <w:color w:val="333333"/>
          <w:sz w:val="20"/>
          <w:szCs w:val="20"/>
        </w:rPr>
        <w:t xml:space="preserve">Scans the source for available data (e.g., lists Google Drive folders, Gmail labels, calendar feeds). Returns a manifest of what can be synced.</w:t>
      </w:r>
    </w:p>
    <w:p>
      <w:pPr>
        <w:pStyle w:val="ListParagraph"/>
        <w:numPr>
          <w:ilvl w:val="0"/>
          <w:numId w:val="3"/>
        </w:numPr>
        <w:spacing w:after="60" w:line="276"/>
      </w:pPr>
      <w:r>
        <w:rPr>
          <w:rFonts w:ascii="Arial" w:cs="Arial" w:eastAsia="Arial" w:hAnsi="Arial"/>
          <w:b/>
          <w:bCs/>
          <w:color w:val="333333"/>
          <w:sz w:val="20"/>
          <w:szCs w:val="20"/>
        </w:rPr>
        <w:t xml:space="preserve">sync(config) — </w:t>
      </w:r>
      <w:r>
        <w:rPr>
          <w:rFonts w:ascii="Arial" w:cs="Arial" w:eastAsia="Arial" w:hAnsi="Arial"/>
          <w:color w:val="333333"/>
          <w:sz w:val="20"/>
          <w:szCs w:val="20"/>
        </w:rPr>
        <w:t xml:space="preserve">Pulls data based on user-configured rules (which folders, which labels, date ranges). Supports full sync (initial) and incremental sync (delta since last run).</w:t>
      </w:r>
    </w:p>
    <w:p>
      <w:pPr>
        <w:pStyle w:val="ListParagraph"/>
        <w:numPr>
          <w:ilvl w:val="0"/>
          <w:numId w:val="3"/>
        </w:numPr>
        <w:spacing w:after="60" w:line="276"/>
      </w:pPr>
      <w:r>
        <w:rPr>
          <w:rFonts w:ascii="Arial" w:cs="Arial" w:eastAsia="Arial" w:hAnsi="Arial"/>
          <w:b/>
          <w:bCs/>
          <w:color w:val="333333"/>
          <w:sz w:val="20"/>
          <w:szCs w:val="20"/>
        </w:rPr>
        <w:t xml:space="preserve">normalize(rawData) — </w:t>
      </w:r>
      <w:r>
        <w:rPr>
          <w:rFonts w:ascii="Arial" w:cs="Arial" w:eastAsia="Arial" w:hAnsi="Arial"/>
          <w:color w:val="333333"/>
          <w:sz w:val="20"/>
          <w:szCs w:val="20"/>
        </w:rPr>
        <w:t xml:space="preserve">Transforms source-specific data into the Engineering Brain’s standard ingest format: { source_type, raw_content, metadata, timestamp }.</w:t>
      </w:r>
    </w:p>
    <w:p>
      <w:pPr>
        <w:pStyle w:val="ListParagraph"/>
        <w:numPr>
          <w:ilvl w:val="0"/>
          <w:numId w:val="3"/>
        </w:numPr>
        <w:spacing w:after="60" w:line="276"/>
      </w:pPr>
      <w:r>
        <w:rPr>
          <w:rFonts w:ascii="Arial" w:cs="Arial" w:eastAsia="Arial" w:hAnsi="Arial"/>
          <w:b/>
          <w:bCs/>
          <w:color w:val="333333"/>
          <w:sz w:val="20"/>
          <w:szCs w:val="20"/>
        </w:rPr>
        <w:t xml:space="preserve">extract(normalizedData) — </w:t>
      </w:r>
      <w:r>
        <w:rPr>
          <w:rFonts w:ascii="Arial" w:cs="Arial" w:eastAsia="Arial" w:hAnsi="Arial"/>
          <w:color w:val="333333"/>
          <w:sz w:val="20"/>
          <w:szCs w:val="20"/>
        </w:rPr>
        <w:t xml:space="preserve">Feeds normalized data into the AI extraction pipeline (same as voice dump extraction) to produce typed knowledge objects.</w:t>
      </w:r>
    </w:p>
    <w:p>
      <w:pPr>
        <w:spacing w:after="120"/>
      </w:pPr>
    </w:p>
    <w:p>
      <w:pPr>
        <w:spacing w:after="120" w:line="276"/>
      </w:pPr>
      <w:r>
        <w:rPr>
          <w:rFonts w:ascii="Arial" w:cs="Arial" w:eastAsia="Arial" w:hAnsi="Arial"/>
          <w:color w:val="333333"/>
          <w:sz w:val="20"/>
          <w:szCs w:val="20"/>
        </w:rPr>
        <w:t xml:space="preserve">Connectors run as background jobs on configurable schedules (e.g., Gmail every 15 minutes, Google Drive every hour, RMM daily). Each sync is idempotent — re-running does not create duplicates. Deduplication is handled by content hashing + source ID tracking.</w:t>
      </w:r>
    </w:p>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3. Connector Registry</w:t>
      </w:r>
    </w:p>
    <w:p>
      <w:pPr>
        <w:spacing w:after="120" w:line="276"/>
      </w:pPr>
      <w:r>
        <w:rPr>
          <w:rFonts w:ascii="Arial" w:cs="Arial" w:eastAsia="Arial" w:hAnsi="Arial"/>
          <w:color w:val="333333"/>
          <w:sz w:val="20"/>
          <w:szCs w:val="20"/>
        </w:rPr>
        <w:t xml:space="preserve">The following connectors are defined in priority order. Phase 1 connectors ship with or shortly after MVP. Phase 2+ connectors are built as the platform matures.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4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Connector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What It Ingests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Drive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OAuth2 (Google)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Documents, spreadsheets, and notes from configured folders. Supports .docx, .pdf, .txt, .md, .csv. Each document is extracted into knowledge objects. Folder structure is preserved as tags.</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Gmail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OAuth2 (Google)</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Emails matching configured rules (labels, senders, keywords). Extracts commitments, decisions, client communications, and action items. Attachments processed separately.</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Calendar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OAuth2 (Google)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Meeting events with attendees, agendas, and notes. Pre-meeting: surfaces relevant knowledge for attendees. Post-meeting: prompts for voice dump capture.</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AI Conversation Export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File Upload / API</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Exported conversations from Claude, ChatGPT, Gemini. Parses conversation JSON/text, extracts knowledge objects, links to relevant clients/projects.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NinjaOne (RMM)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Device inventory, alert history, patch status, endpoint health. Creates client_fact objects for each managed client’s infrastructure state.</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ConnectWise / Halo PSA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 Key</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Ticket history, time entries, project records, client contacts. Extracts decision and commitment objects from ticket resolutions and project notes.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Microsoft 365 / Graph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OAuth2 (Entra 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SharePoint documents, Teams messages, Outlook mail and calendar (for DIT clients on M365). Parallel to Google connectors for M365-native environments.</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Slack</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OAuth2 (Slack)</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Channel messages and DMs matching configured rules. Extracts commitments, decisions, and technical discussions.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QuickBooks / Xero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OAuth2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Invoice history, vendor payments, client billing. Creates financial context objects linked to clients and vendors.</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GitHub</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OAuth2 / PAT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Repository activity, PR discussions, deployment events. Links code decisions to architecture_pattern objects.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Webhook (Generic)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 Key + HMAC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 inbound webhook for any system. Accepts JSON payloads with configurable field mapping to knowledge types.</w:t>
            </w:r>
          </w:p>
        </w:tc>
      </w:tr>
    </w:tbl>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4. Integration Data Model</w:t>
      </w:r>
    </w:p>
    <w:p>
      <w:pPr>
        <w:spacing w:after="120" w:line="276"/>
      </w:pPr>
      <w:r>
        <w:rPr>
          <w:rFonts w:ascii="Arial" w:cs="Arial" w:eastAsia="Arial" w:hAnsi="Arial"/>
          <w:color w:val="333333"/>
          <w:sz w:val="20"/>
          <w:szCs w:val="20"/>
        </w:rPr>
        <w:t xml:space="preserve">New tables added to the CVG-BRAIN schema to support the integration layer:</w:t>
      </w:r>
    </w:p>
    <w:p>
      <w:pPr>
        <w:spacing w:after="120"/>
      </w:pPr>
    </w:p>
    <w:p>
      <w:pPr>
        <w:pStyle w:val="Heading2"/>
        <w:spacing w:after="120" w:before="280"/>
      </w:pPr>
      <w:r>
        <w:rPr>
          <w:rFonts w:ascii="Arial" w:cs="Arial" w:eastAsia="Arial" w:hAnsi="Arial"/>
          <w:b/>
          <w:bCs/>
          <w:color w:val="1B3A5C"/>
          <w:sz w:val="24"/>
          <w:szCs w:val="24"/>
        </w:rPr>
        <w:t xml:space="preserve">4.1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Connector instance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tenants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 isolation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connector_type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google_drive | gmail | gcal | ai_export | ninjaone | connectwise | m365 | slack | quickbooks | github | webhook</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display_name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VARCHAR(255)</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User-facing label (e.g., “My Google Drive”)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credentials_ref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VARCHAR(255)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Reference to encrypted credential in Doppler or Vault. Never stored in DB.</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sync_config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JSONB</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Source-specific config: folders to watch, labels to filter, sync frequency, date cutoffs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active | paused | error | disconnected</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last_sync_at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Last successful sync completion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last_error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Last error message if status is error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When connector was configured</w:t>
            </w:r>
          </w:p>
        </w:tc>
      </w:tr>
    </w:tbl>
    <w:p>
      <w:pPr>
        <w:spacing w:after="120"/>
      </w:pPr>
    </w:p>
    <w:p>
      <w:pPr>
        <w:pStyle w:val="Heading2"/>
        <w:spacing w:after="120" w:before="280"/>
      </w:pPr>
      <w:r>
        <w:rPr>
          <w:rFonts w:ascii="Arial" w:cs="Arial" w:eastAsia="Arial" w:hAnsi="Arial"/>
          <w:b/>
          <w:bCs/>
          <w:color w:val="1B3A5C"/>
          <w:sz w:val="24"/>
          <w:szCs w:val="24"/>
        </w:rPr>
        <w:t xml:space="preserve">4.2 sync_runs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Sync run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connector_id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connectors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Which connector ran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FK → tenants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Tenant isolation</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run_type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full | incremental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running | complete | partial | failed</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items_found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Raw items discovered from source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items_ingested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Items successfully processed into knowledge objects</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items_skipped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Items skipped (duplicates, filtered out, unsupported format)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items_failed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Items that failed extraction</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started_at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Sync start time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completed_at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TIMESTAMPTZ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Sync end time</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error_log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JSONB NULL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Array of per-item errors for debugging</w:t>
            </w:r>
          </w:p>
        </w:tc>
      </w:tr>
    </w:tbl>
    <w:p>
      <w:pPr>
        <w:spacing w:after="120"/>
      </w:pPr>
    </w:p>
    <w:p>
      <w:pPr>
        <w:pStyle w:val="Heading2"/>
        <w:spacing w:after="120" w:before="280"/>
      </w:pPr>
      <w:r>
        <w:rPr>
          <w:rFonts w:ascii="Arial" w:cs="Arial" w:eastAsia="Arial" w:hAnsi="Arial"/>
          <w:b/>
          <w:bCs/>
          <w:color w:val="1B3A5C"/>
          <w:sz w:val="24"/>
          <w:szCs w:val="24"/>
        </w:rPr>
        <w:t xml:space="preserve">4.3 source_items</w:t>
      </w:r>
    </w:p>
    <w:p>
      <w:pPr>
        <w:spacing w:after="120" w:line="276"/>
      </w:pPr>
      <w:r>
        <w:rPr>
          <w:rFonts w:ascii="Arial" w:cs="Arial" w:eastAsia="Arial" w:hAnsi="Arial"/>
          <w:color w:val="333333"/>
          <w:sz w:val="20"/>
          <w:szCs w:val="20"/>
        </w:rPr>
        <w:t xml:space="preserve">Tracks every item ingested from a source to prevent duplicate processing and enable provenance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Source item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connector_id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connectors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Source connector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FK → tenants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Tenant isolation</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source_id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VARCHAR(500)</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ID from the source system (e.g., Google Drive file ID, Gmail message ID)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source_url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Deep link back to original item in source system</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content_hash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VARCHAR(64)</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SHA-256 of normalized content for dedup</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last_modified_at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Source item’s last modification time</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knowledge_object_ids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Knowledge objects created from this source item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sync_run_id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FK → sync_runs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Which sync run processed this item</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When first ingested</w:t>
            </w:r>
          </w:p>
        </w:tc>
      </w:tr>
    </w:tbl>
    <w:p>
      <w:pPr>
        <w:spacing w:after="120"/>
      </w:pPr>
    </w:p>
    <w:p>
      <w:pPr>
        <w:pStyle w:val="Heading2"/>
        <w:spacing w:after="120" w:before="280"/>
      </w:pPr>
      <w:r>
        <w:rPr>
          <w:rFonts w:ascii="Arial" w:cs="Arial" w:eastAsia="Arial" w:hAnsi="Arial"/>
          <w:b/>
          <w:bCs/>
          <w:color w:val="1B3A5C"/>
          <w:sz w:val="24"/>
          <w:szCs w:val="24"/>
        </w:rPr>
        <w:t xml:space="preserve">4.4 Schema Update: knowledge_objects</w:t>
      </w:r>
    </w:p>
    <w:p>
      <w:pPr>
        <w:spacing w:after="120" w:line="276"/>
      </w:pPr>
      <w:r>
        <w:rPr>
          <w:rFonts w:ascii="Arial" w:cs="Arial" w:eastAsia="Arial" w:hAnsi="Arial"/>
          <w:color w:val="333333"/>
          <w:sz w:val="20"/>
          <w:szCs w:val="20"/>
        </w:rPr>
        <w:t xml:space="preserve">The knowledge_objects table from the base spec is extended with integration-related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New 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source_connector_id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FK → connectors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Which connector ingested this object (NULL for voice dumps and manual entries)</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source_item_id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source_items NULL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Link to the specific source item for provenance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source_url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Deep link to original content in source system. Enables “show me the original email” from recall.</w:t>
            </w:r>
          </w:p>
        </w:tc>
      </w:tr>
    </w:tbl>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5. Extraction Pipeline Enhancements</w:t>
      </w:r>
    </w:p>
    <w:p>
      <w:pPr>
        <w:spacing w:after="120" w:line="276"/>
      </w:pPr>
      <w:r>
        <w:rPr>
          <w:rFonts w:ascii="Arial" w:cs="Arial" w:eastAsia="Arial" w:hAnsi="Arial"/>
          <w:color w:val="333333"/>
          <w:sz w:val="20"/>
          <w:szCs w:val="20"/>
        </w:rPr>
        <w:t xml:space="preserve">The base spec defined the extraction pipeline for voice dumps. Integration sources require additional processing before extraction:</w:t>
      </w:r>
    </w:p>
    <w:p>
      <w:pPr>
        <w:spacing w:after="120"/>
      </w:pPr>
    </w:p>
    <w:p>
      <w:pPr>
        <w:pStyle w:val="Heading2"/>
        <w:spacing w:after="120" w:before="280"/>
      </w:pPr>
      <w:r>
        <w:rPr>
          <w:rFonts w:ascii="Arial" w:cs="Arial" w:eastAsia="Arial" w:hAnsi="Arial"/>
          <w:b/>
          <w:bCs/>
          <w:color w:val="1B3A5C"/>
          <w:sz w:val="24"/>
          <w:szCs w:val="24"/>
        </w:rPr>
        <w:t xml:space="preserve">5.1 Content Normalization</w:t>
      </w:r>
    </w:p>
    <w:p>
      <w:pPr>
        <w:spacing w:after="120" w:line="276"/>
      </w:pPr>
      <w:r>
        <w:rPr>
          <w:rFonts w:ascii="Arial" w:cs="Arial" w:eastAsia="Arial" w:hAnsi="Arial"/>
          <w:color w:val="333333"/>
          <w:sz w:val="20"/>
          <w:szCs w:val="20"/>
        </w:rPr>
        <w:t xml:space="preserve">Each source type has unique structure. Normalization converts all sources into a common format before extraction: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 Type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Normalization Process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Docs / .docx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Extract plain text. Preserve heading structure as section markers. Strip formatting. For large documents (&gt;4000 tokens), chunk by section with overlap.</w:t>
            </w:r>
          </w:p>
        </w:tc>
      </w:tr>
      <w:tr>
        <w:trPr>
          <w:tblHeader w:val="false"/>
        </w:trP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Gmail</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Extract sender, recipients, date, subject, and body text. Strip signatures and quoted replies. Thread context: include prior message summary for replies.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Calendar events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Extract title, attendees (with roles), date/time, location, description, and any linked documents or agendas.</w:t>
            </w:r>
          </w:p>
        </w:tc>
      </w:tr>
      <w:tr>
        <w:trPr>
          <w:tblHeader w:val="false"/>
        </w:trP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AI conversations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Parse export format (JSON for ChatGPT/Claude, text for others). Identify assistant vs. user messages. Extract final decisions, code outputs, and action items. Skip meta-discussion.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PDF / Scanned docs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OCR if scanned (Tesseract or cloud OCR). Extract text. For structured PDFs (forms), map fields to key-value pairs.</w:t>
            </w:r>
          </w:p>
        </w:tc>
      </w:tr>
      <w:tr>
        <w:trPr>
          <w:tblHeader w:val="false"/>
        </w:trP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RMM / PSA APIs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Map API response fields to normalized objects. Device inventory becomes client_fact objects. Tickets become decision or commitment objects based on status and content.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Slack / Teams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Extract message text, author, channel/thread context, timestamps. Thread conversations collapsed into single context blocks. Mentions resolved to person names.</w:t>
            </w:r>
          </w:p>
        </w:tc>
      </w:tr>
    </w:tbl>
    <w:p>
      <w:pPr>
        <w:spacing w:after="120"/>
      </w:pPr>
    </w:p>
    <w:p>
      <w:pPr>
        <w:pStyle w:val="Heading2"/>
        <w:spacing w:after="120" w:before="280"/>
      </w:pPr>
      <w:r>
        <w:rPr>
          <w:rFonts w:ascii="Arial" w:cs="Arial" w:eastAsia="Arial" w:hAnsi="Arial"/>
          <w:b/>
          <w:bCs/>
          <w:color w:val="1B3A5C"/>
          <w:sz w:val="24"/>
          <w:szCs w:val="24"/>
        </w:rPr>
        <w:t xml:space="preserve">5.2 Intelligent Chunking</w:t>
      </w:r>
    </w:p>
    <w:p>
      <w:pPr>
        <w:spacing w:after="120" w:line="276"/>
      </w:pPr>
      <w:r>
        <w:rPr>
          <w:rFonts w:ascii="Arial" w:cs="Arial" w:eastAsia="Arial" w:hAnsi="Arial"/>
          <w:color w:val="333333"/>
          <w:sz w:val="20"/>
          <w:szCs w:val="20"/>
        </w:rPr>
        <w:t xml:space="preserve">Large documents and long email threads require chunking before extraction. The chunking strategy balances context preservation with extraction quality:</w:t>
      </w:r>
    </w:p>
    <w:p>
      <w:pPr>
        <w:spacing w:after="120"/>
      </w:pPr>
    </w:p>
    <w:p>
      <w:pPr>
        <w:pStyle w:val="ListParagraph"/>
        <w:numPr>
          <w:ilvl w:val="0"/>
          <w:numId w:val="4"/>
        </w:numPr>
        <w:spacing w:after="60" w:line="276"/>
      </w:pPr>
      <w:r>
        <w:rPr>
          <w:rFonts w:ascii="Arial" w:cs="Arial" w:eastAsia="Arial" w:hAnsi="Arial"/>
          <w:b/>
          <w:bCs/>
          <w:color w:val="333333"/>
          <w:sz w:val="20"/>
          <w:szCs w:val="20"/>
        </w:rPr>
        <w:t xml:space="preserve">Section-aware chunking: </w:t>
      </w:r>
      <w:r>
        <w:rPr>
          <w:rFonts w:ascii="Arial" w:cs="Arial" w:eastAsia="Arial" w:hAnsi="Arial"/>
          <w:color w:val="333333"/>
          <w:sz w:val="20"/>
          <w:szCs w:val="20"/>
        </w:rPr>
        <w:t xml:space="preserve">Documents are split at heading boundaries, not arbitrary token limits. Each chunk retains its section title as context.</w:t>
      </w:r>
    </w:p>
    <w:p>
      <w:pPr>
        <w:pStyle w:val="ListParagraph"/>
        <w:numPr>
          <w:ilvl w:val="0"/>
          <w:numId w:val="4"/>
        </w:numPr>
        <w:spacing w:after="60" w:line="276"/>
      </w:pPr>
      <w:r>
        <w:rPr>
          <w:rFonts w:ascii="Arial" w:cs="Arial" w:eastAsia="Arial" w:hAnsi="Arial"/>
          <w:b/>
          <w:bCs/>
          <w:color w:val="333333"/>
          <w:sz w:val="20"/>
          <w:szCs w:val="20"/>
        </w:rPr>
        <w:t xml:space="preserve">Overlap windows: </w:t>
      </w:r>
      <w:r>
        <w:rPr>
          <w:rFonts w:ascii="Arial" w:cs="Arial" w:eastAsia="Arial" w:hAnsi="Arial"/>
          <w:color w:val="333333"/>
          <w:sz w:val="20"/>
          <w:szCs w:val="20"/>
        </w:rPr>
        <w:t xml:space="preserve">Each chunk includes the last 200 tokens of the previous chunk as overlap to prevent context loss at boundaries.</w:t>
      </w:r>
    </w:p>
    <w:p>
      <w:pPr>
        <w:pStyle w:val="ListParagraph"/>
        <w:numPr>
          <w:ilvl w:val="0"/>
          <w:numId w:val="4"/>
        </w:numPr>
        <w:spacing w:after="60" w:line="276"/>
      </w:pPr>
      <w:r>
        <w:rPr>
          <w:rFonts w:ascii="Arial" w:cs="Arial" w:eastAsia="Arial" w:hAnsi="Arial"/>
          <w:b/>
          <w:bCs/>
          <w:color w:val="333333"/>
          <w:sz w:val="20"/>
          <w:szCs w:val="20"/>
        </w:rPr>
        <w:t xml:space="preserve">Thread collapsing: </w:t>
      </w:r>
      <w:r>
        <w:rPr>
          <w:rFonts w:ascii="Arial" w:cs="Arial" w:eastAsia="Arial" w:hAnsi="Arial"/>
          <w:color w:val="333333"/>
          <w:sz w:val="20"/>
          <w:szCs w:val="20"/>
        </w:rPr>
        <w:t xml:space="preserve">Email and Slack threads are processed as a unit. If a thread exceeds token limits, early messages are summarized and the most recent messages are kept verbatim.</w:t>
      </w:r>
    </w:p>
    <w:p>
      <w:pPr>
        <w:pStyle w:val="ListParagraph"/>
        <w:numPr>
          <w:ilvl w:val="0"/>
          <w:numId w:val="4"/>
        </w:numPr>
        <w:spacing w:after="60" w:line="276"/>
      </w:pPr>
      <w:r>
        <w:rPr>
          <w:rFonts w:ascii="Arial" w:cs="Arial" w:eastAsia="Arial" w:hAnsi="Arial"/>
          <w:b/>
          <w:bCs/>
          <w:color w:val="333333"/>
          <w:sz w:val="20"/>
          <w:szCs w:val="20"/>
        </w:rPr>
        <w:t xml:space="preserve">Extraction dedup: </w:t>
      </w:r>
      <w:r>
        <w:rPr>
          <w:rFonts w:ascii="Arial" w:cs="Arial" w:eastAsia="Arial" w:hAnsi="Arial"/>
          <w:color w:val="333333"/>
          <w:sz w:val="20"/>
          <w:szCs w:val="20"/>
        </w:rPr>
        <w:t xml:space="preserve">After chunk-level extraction, a deduplication pass merges identical or near-identical knowledge objects extracted from overlapping chunks.</w:t>
      </w:r>
    </w:p>
    <w:p>
      <w:pPr>
        <w:spacing w:after="120"/>
      </w:pPr>
    </w:p>
    <w:p>
      <w:pPr>
        <w:pStyle w:val="Heading2"/>
        <w:spacing w:after="120" w:before="280"/>
      </w:pPr>
      <w:r>
        <w:rPr>
          <w:rFonts w:ascii="Arial" w:cs="Arial" w:eastAsia="Arial" w:hAnsi="Arial"/>
          <w:b/>
          <w:bCs/>
          <w:color w:val="1B3A5C"/>
          <w:sz w:val="24"/>
          <w:szCs w:val="24"/>
        </w:rPr>
        <w:t xml:space="preserve">5.3 Confidence Assignment for Integrated Sources</w:t>
      </w:r>
    </w:p>
    <w:p>
      <w:pPr>
        <w:spacing w:after="120" w:line="276"/>
      </w:pPr>
      <w:r>
        <w:rPr>
          <w:rFonts w:ascii="Arial" w:cs="Arial" w:eastAsia="Arial" w:hAnsi="Arial"/>
          <w:color w:val="333333"/>
          <w:sz w:val="20"/>
          <w:szCs w:val="20"/>
        </w:rPr>
        <w:t xml:space="preserve">The base spec uses observed/represented/unverified confidence levels (from the Compass evidence tagging system). For integrated sources, confidence is assigned based on source type and content: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Default Confidence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Upgrade / Downgrade Rules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Voice dump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Observed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 was the direct observer. Highest default confidence.</w:t>
            </w:r>
          </w:p>
        </w:tc>
      </w:tr>
      <w:tr>
        <w:trPr>
          <w:tblHeader w:val="false"/>
        </w:trP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User’s sent email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Observed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User authored the content. Statements are the user’s own assertions.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Received email (from client/vendor)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Represented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Third party assertion. Extracted facts tagged as represented unless corroborated.</w:t>
            </w:r>
          </w:p>
        </w:tc>
      </w:tr>
      <w:tr>
        <w:trPr>
          <w:tblHeader w:val="false"/>
        </w:trP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Google Drive docs (user-authored)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Observed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User created the document.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Drive docs (shared / third-party)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Represented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Content from someone else’s document.</w:t>
            </w:r>
          </w:p>
        </w:tc>
      </w:tr>
      <w:tr>
        <w:trPr>
          <w:tblHeader w:val="false"/>
        </w:trP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RMM / PSA data (system-generated)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Observed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Machine-generated data from managed systems. Factual by nature.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 conversation 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Unverified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AI-generated content that has not been independently confirmed. Lowest default confidence.</w:t>
            </w:r>
          </w:p>
        </w:tc>
      </w:tr>
      <w:tr>
        <w:trPr>
          <w:tblHeader w:val="false"/>
        </w:trP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Calendar event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Represented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Event details as represented by the organizer.</w:t>
            </w:r>
          </w:p>
        </w:tc>
      </w:tr>
    </w:tbl>
    <w:p>
      <w:pPr>
        <w:spacing w:after="120"/>
      </w:pPr>
    </w:p>
    <w:p>
      <w:pPr>
        <w:spacing w:after="120" w:line="276"/>
      </w:pPr>
      <w:r>
        <w:rPr>
          <w:rFonts w:ascii="Arial" w:cs="Arial" w:eastAsia="Arial" w:hAnsi="Arial"/>
          <w:color w:val="333333"/>
          <w:sz w:val="20"/>
          <w:szCs w:val="20"/>
        </w:rPr>
        <w:t xml:space="preserve">Users can manually upgrade or downgrade confidence on any knowledge object through the review interface. This override is permanent and takes precedence over the automatic assignment.</w:t>
      </w:r>
    </w:p>
    <w:p>
      <w:pPr>
        <w:spacing w:after="120"/>
      </w:pP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PART II: Model Intelligence Engine</w:t>
      </w:r>
    </w:p>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6. Why Static Model Routing Fails</w:t>
      </w:r>
    </w:p>
    <w:p>
      <w:pPr>
        <w:spacing w:after="120" w:line="276"/>
      </w:pPr>
      <w:r>
        <w:rPr>
          <w:rFonts w:ascii="Arial" w:cs="Arial" w:eastAsia="Arial" w:hAnsi="Arial"/>
          <w:color w:val="333333"/>
          <w:sz w:val="20"/>
          <w:szCs w:val="20"/>
        </w:rPr>
        <w:t xml:space="preserve">The naive approach to model selection is a static lookup table: “Use Claude for code, GPT for writing, Gemini for research.” This was the approach documented in the original AI system bundle and in the Cavaridge Command Technical Architecture. It fails for several reasons:</w:t>
      </w:r>
    </w:p>
    <w:p>
      <w:pPr>
        <w:spacing w:after="120"/>
      </w:pPr>
    </w:p>
    <w:p>
      <w:pPr>
        <w:pStyle w:val="ListParagraph"/>
        <w:numPr>
          <w:ilvl w:val="0"/>
          <w:numId w:val="5"/>
        </w:numPr>
        <w:spacing w:after="60" w:line="276"/>
      </w:pPr>
      <w:r>
        <w:rPr>
          <w:rFonts w:ascii="Arial" w:cs="Arial" w:eastAsia="Arial" w:hAnsi="Arial"/>
          <w:b/>
          <w:bCs/>
          <w:color w:val="333333"/>
          <w:sz w:val="20"/>
          <w:szCs w:val="20"/>
        </w:rPr>
        <w:t xml:space="preserve">Tasks are hybrid. </w:t>
      </w:r>
      <w:r>
        <w:rPr>
          <w:rFonts w:ascii="Arial" w:cs="Arial" w:eastAsia="Arial" w:hAnsi="Arial"/>
          <w:color w:val="333333"/>
          <w:sz w:val="20"/>
          <w:szCs w:val="20"/>
        </w:rPr>
        <w:t xml:space="preserve">A due diligence report requires research (gathering client facts), analysis (assessing risk), writing (producing the narrative), and structured output (tables, cost estimates). No single model is best at all of these simultaneously.</w:t>
      </w:r>
    </w:p>
    <w:p>
      <w:pPr>
        <w:pStyle w:val="ListParagraph"/>
        <w:numPr>
          <w:ilvl w:val="0"/>
          <w:numId w:val="5"/>
        </w:numPr>
        <w:spacing w:after="60" w:line="276"/>
      </w:pPr>
      <w:r>
        <w:rPr>
          <w:rFonts w:ascii="Arial" w:cs="Arial" w:eastAsia="Arial" w:hAnsi="Arial"/>
          <w:b/>
          <w:bCs/>
          <w:color w:val="333333"/>
          <w:sz w:val="20"/>
          <w:szCs w:val="20"/>
        </w:rPr>
        <w:t xml:space="preserve">Models change constantly. </w:t>
      </w:r>
      <w:r>
        <w:rPr>
          <w:rFonts w:ascii="Arial" w:cs="Arial" w:eastAsia="Arial" w:hAnsi="Arial"/>
          <w:color w:val="333333"/>
          <w:sz w:val="20"/>
          <w:szCs w:val="20"/>
        </w:rPr>
        <w:t xml:space="preserve">A model that was best for code six months ago may have been surpassed. Hardcoded routing locks in assumptions that decay.</w:t>
      </w:r>
    </w:p>
    <w:p>
      <w:pPr>
        <w:pStyle w:val="ListParagraph"/>
        <w:numPr>
          <w:ilvl w:val="0"/>
          <w:numId w:val="5"/>
        </w:numPr>
        <w:spacing w:after="60" w:line="276"/>
      </w:pPr>
      <w:r>
        <w:rPr>
          <w:rFonts w:ascii="Arial" w:cs="Arial" w:eastAsia="Arial" w:hAnsi="Arial"/>
          <w:b/>
          <w:bCs/>
          <w:color w:val="333333"/>
          <w:sz w:val="20"/>
          <w:szCs w:val="20"/>
        </w:rPr>
        <w:t xml:space="preserve">Accuracy depends on context. </w:t>
      </w:r>
      <w:r>
        <w:rPr>
          <w:rFonts w:ascii="Arial" w:cs="Arial" w:eastAsia="Arial" w:hAnsi="Arial"/>
          <w:color w:val="333333"/>
          <w:sz w:val="20"/>
          <w:szCs w:val="20"/>
        </w:rPr>
        <w:t xml:space="preserve">The best model for a given query depends on the specific knowledge objects retrieved from the store. A model might handle general network architecture questions well but hallucinate when asked about a specific ASC’s Meraki configuration.</w:t>
      </w:r>
    </w:p>
    <w:p>
      <w:pPr>
        <w:pStyle w:val="ListParagraph"/>
        <w:numPr>
          <w:ilvl w:val="0"/>
          <w:numId w:val="5"/>
        </w:numPr>
        <w:spacing w:after="60" w:line="276"/>
      </w:pPr>
      <w:r>
        <w:rPr>
          <w:rFonts w:ascii="Arial" w:cs="Arial" w:eastAsia="Arial" w:hAnsi="Arial"/>
          <w:b/>
          <w:bCs/>
          <w:color w:val="333333"/>
          <w:sz w:val="20"/>
          <w:szCs w:val="20"/>
        </w:rPr>
        <w:t xml:space="preserve">Hallucination risk varies by task type. </w:t>
      </w:r>
      <w:r>
        <w:rPr>
          <w:rFonts w:ascii="Arial" w:cs="Arial" w:eastAsia="Arial" w:hAnsi="Arial"/>
          <w:color w:val="333333"/>
          <w:sz w:val="20"/>
          <w:szCs w:val="20"/>
        </w:rPr>
        <w:t xml:space="preserve">Fact-recall tasks ("What did I find at CASS?") have zero tolerance for hallucination. Creative tasks ("Draft a marketing email") have high tolerance. The routing strategy must account for this.</w:t>
      </w:r>
    </w:p>
    <w:p>
      <w:pPr>
        <w:spacing w:after="120"/>
      </w:pPr>
    </w:p>
    <w:p>
      <w:pPr>
        <w:spacing w:after="120" w:line="276"/>
      </w:pPr>
      <w:r>
        <w:rPr>
          <w:rFonts w:ascii="Arial" w:cs="Arial" w:eastAsia="Arial" w:hAnsi="Arial"/>
          <w:color w:val="333333"/>
          <w:sz w:val="20"/>
          <w:szCs w:val="20"/>
        </w:rPr>
        <w:t xml:space="preserve">The Model Intelligence Engine replaces static routing with a dynamic, multi-model orchestration system.</w:t>
      </w:r>
    </w:p>
    <w:p>
      <w:pPr>
        <w:pStyle w:val="Heading1"/>
        <w:pBdr>
          <w:bottom w:val="single" w:color="2E75B6" w:sz="4" w:space="4"/>
        </w:pBdr>
        <w:spacing w:after="160" w:before="360"/>
      </w:pPr>
      <w:r>
        <w:rPr>
          <w:rFonts w:ascii="Arial" w:cs="Arial" w:eastAsia="Arial" w:hAnsi="Arial"/>
          <w:b/>
          <w:bCs/>
          <w:color w:val="1B3A5C"/>
          <w:sz w:val="28"/>
          <w:szCs w:val="28"/>
        </w:rPr>
        <w:t xml:space="preserve">7. Model Intelligence Architecture</w:t>
      </w:r>
    </w:p>
    <w:p>
      <w:pPr>
        <w:spacing w:after="120" w:line="276"/>
      </w:pPr>
      <w:r>
        <w:rPr>
          <w:rFonts w:ascii="Arial" w:cs="Arial" w:eastAsia="Arial" w:hAnsi="Arial"/>
          <w:color w:val="333333"/>
          <w:sz w:val="20"/>
          <w:szCs w:val="20"/>
        </w:rPr>
        <w:t xml:space="preserve">The engine has four components that work together on every query:</w:t>
      </w:r>
    </w:p>
    <w:p>
      <w:pPr>
        <w:spacing w:after="120"/>
      </w:pPr>
    </w:p>
    <w:p>
      <w:pPr>
        <w:pStyle w:val="Heading2"/>
        <w:spacing w:after="120" w:before="280"/>
      </w:pPr>
      <w:r>
        <w:rPr>
          <w:rFonts w:ascii="Arial" w:cs="Arial" w:eastAsia="Arial" w:hAnsi="Arial"/>
          <w:b/>
          <w:bCs/>
          <w:color w:val="1B3A5C"/>
          <w:sz w:val="24"/>
          <w:szCs w:val="24"/>
        </w:rPr>
        <w:t xml:space="preserve">7.1 Task Classifier</w:t>
      </w:r>
    </w:p>
    <w:p>
      <w:pPr>
        <w:spacing w:after="120" w:line="276"/>
      </w:pPr>
      <w:r>
        <w:rPr>
          <w:rFonts w:ascii="Arial" w:cs="Arial" w:eastAsia="Arial" w:hAnsi="Arial"/>
          <w:color w:val="333333"/>
          <w:sz w:val="20"/>
          <w:szCs w:val="20"/>
        </w:rPr>
        <w:t xml:space="preserve">Before any model is invoked, the system classifies the incoming request. Classification runs locally (no LLM call) using a rules engine with keyword analysis and context signals: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How It’s Determined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Task 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recall | analysis | generation | operation | conversation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Keyword patterns + request structure. “What did I…” = recall. “Create a SoW” = operation. “Compare X and Y” = analysis.</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Hallucination Tolerance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zero | low | medium | high</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Recall = zero. Operations with client-facing output = low. Internal analysis = medium. Brainstorming = high.</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Complexity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simple | moderate | complex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Token count of retrieved context + query. Number of knowledge types involved. Cross-client or cross-vendor = complex.</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Output Format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text | structured_json | docx | markdown | code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Derived from operation definition or explicit user request.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infrastructure | security | compliance | clinical | financial | general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Keyword + knowledge type analysis.</w:t>
            </w:r>
          </w:p>
        </w:tc>
      </w:tr>
    </w:tbl>
    <w:p>
      <w:pPr>
        <w:spacing w:after="120"/>
      </w:pPr>
    </w:p>
    <w:p>
      <w:pPr>
        <w:pStyle w:val="Heading2"/>
        <w:spacing w:after="120" w:before="280"/>
      </w:pPr>
      <w:r>
        <w:rPr>
          <w:rFonts w:ascii="Arial" w:cs="Arial" w:eastAsia="Arial" w:hAnsi="Arial"/>
          <w:b/>
          <w:bCs/>
          <w:color w:val="1B3A5C"/>
          <w:sz w:val="24"/>
          <w:szCs w:val="24"/>
        </w:rPr>
        <w:t xml:space="preserve">7.2 Model Selector</w:t>
      </w:r>
    </w:p>
    <w:p>
      <w:pPr>
        <w:spacing w:after="120" w:line="276"/>
      </w:pPr>
      <w:r>
        <w:rPr>
          <w:rFonts w:ascii="Arial" w:cs="Arial" w:eastAsia="Arial" w:hAnsi="Arial"/>
          <w:color w:val="333333"/>
          <w:sz w:val="20"/>
          <w:szCs w:val="20"/>
        </w:rPr>
        <w:t xml:space="preserve">Given the task classification, the model selector chooses one or more models from the available model pool. Selection is driven by a scoring matrix stored in the database, not hardcoded in application logic.</w:t>
      </w:r>
    </w:p>
    <w:p>
      <w:pPr>
        <w:spacing w:after="120"/>
      </w:pPr>
    </w:p>
    <w:p>
      <w:pPr>
        <w:pStyle w:val="Heading2"/>
        <w:spacing w:after="120" w:before="280"/>
      </w:pPr>
      <w:r>
        <w:rPr>
          <w:rFonts w:ascii="Arial" w:cs="Arial" w:eastAsia="Arial" w:hAnsi="Arial"/>
          <w:b/>
          <w:bCs/>
          <w:color w:val="1B3A5C"/>
          <w:sz w:val="24"/>
          <w:szCs w:val="24"/>
        </w:rPr>
        <w:t xml:space="preserve">7.2.1 model_pool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Model pool entry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provider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VARCHAR(50)</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anthropic | openai | google | meta | mistral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model_id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VARCHAR(100)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OpenRouter model string (e.g., anthropic/claude-opus-4)</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display_name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VARCHAR(100)</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Human label (e.g., “Claude Opus 4”)</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capabilities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JSONB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Scored capability profile (see below)</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cost_per_1k_input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DECIMAL(6,4)</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Cost in USD per 1K input tokens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cost_per_1k_output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DECIMAL(6,4)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Cost in USD per 1K output tokens</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max_context_tokens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Maximum context window size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supports_structured_output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JSON mode / function calling support</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supports_vision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Image input support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BOOLEAN DEFAULT TRUE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Whether model is available for routing</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last_benchmark_at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When capability scores were last updated</w:t>
            </w:r>
          </w:p>
        </w:tc>
      </w:tr>
    </w:tbl>
    <w:p>
      <w:pPr>
        <w:spacing w:after="120"/>
      </w:pPr>
    </w:p>
    <w:p>
      <w:pPr>
        <w:pStyle w:val="Heading2"/>
        <w:spacing w:after="120" w:before="280"/>
      </w:pPr>
      <w:r>
        <w:rPr>
          <w:rFonts w:ascii="Arial" w:cs="Arial" w:eastAsia="Arial" w:hAnsi="Arial"/>
          <w:b/>
          <w:bCs/>
          <w:color w:val="1B3A5C"/>
          <w:sz w:val="24"/>
          <w:szCs w:val="24"/>
        </w:rPr>
        <w:t xml:space="preserve">7.2.2 Capability Scoring</w:t>
      </w:r>
    </w:p>
    <w:p>
      <w:pPr>
        <w:spacing w:after="120" w:line="276"/>
      </w:pPr>
      <w:r>
        <w:rPr>
          <w:rFonts w:ascii="Arial" w:cs="Arial" w:eastAsia="Arial" w:hAnsi="Arial"/>
          <w:color w:val="333333"/>
          <w:sz w:val="20"/>
          <w:szCs w:val="20"/>
        </w:rPr>
        <w:t xml:space="preserve">Each model in the pool has a scored capability profile. Scores range from 0 to 100 and are updated periodically based on internal benchmarks and observed performance: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factual_accuracy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Ability to stay grounded in provided context without introducing unsupported claims. Measured by fact-checking extraction outputs against known-good test sets.</w:t>
            </w:r>
          </w:p>
        </w:tc>
      </w:tr>
      <w:tr>
        <w:trPr>
          <w:tblHeader w:val="false"/>
        </w:trP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reasoning_depth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Multi-step analytical reasoning. Measured on complex architectural and risk assessment tasks.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instruction_following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Adherence to detailed output format requirements: section order, field completeness, JSON schema compliance.</w:t>
            </w:r>
          </w:p>
        </w:tc>
      </w:tr>
      <w:tr>
        <w:trPr>
          <w:tblHeader w:val="false"/>
        </w:trP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code_generation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Quality of generated code: correctness, idiomatic style, error handling, documentation.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long_context_handling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Performance degradation as context window fills. Some models lose coherence above 50K tokens.</w:t>
            </w:r>
          </w:p>
        </w:tc>
      </w:tr>
      <w:tr>
        <w:trPr>
          <w:tblHeader w:val="false"/>
        </w:trP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structured_output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Reliability of JSON/structured output generation without schema violations.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writing_quality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Professional writing quality for client-facing documents: clarity, tone, conciseness.</w:t>
            </w:r>
          </w:p>
        </w:tc>
      </w:tr>
      <w:tr>
        <w:trPr>
          <w:tblHeader w:val="false"/>
        </w:trP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speed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Tokens per second throughput. Relevant for real-time recall vs. batch operations.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cost_efficiency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Quality-per-dollar. A cheaper model that scores 90% as well as a premium model on a given task may be preferred.</w:t>
            </w:r>
          </w:p>
        </w:tc>
      </w:tr>
    </w:tbl>
    <w:p>
      <w:pPr>
        <w:spacing w:after="120"/>
      </w:pPr>
    </w:p>
    <w:p>
      <w:pPr>
        <w:spacing w:after="120" w:line="276"/>
      </w:pPr>
      <w:r>
        <w:rPr>
          <w:rFonts w:ascii="Arial" w:cs="Arial" w:eastAsia="Arial" w:hAnsi="Arial"/>
          <w:color w:val="333333"/>
          <w:sz w:val="20"/>
          <w:szCs w:val="20"/>
        </w:rPr>
        <w:t xml:space="preserve">The model selector multiplies each capability score by a weight derived from the task classification, then ranks models by weighted total. The top-ranked model is selected — unless the hallucination tolerance is zero or low, in which case the multi-model consensus path is triggered.</w:t>
      </w:r>
    </w:p>
    <w:p>
      <w:pPr>
        <w:spacing w:after="120"/>
      </w:pPr>
    </w:p>
    <w:p>
      <w:pPr>
        <w:pStyle w:val="Heading2"/>
        <w:spacing w:after="120" w:before="280"/>
      </w:pPr>
      <w:r>
        <w:rPr>
          <w:rFonts w:ascii="Arial" w:cs="Arial" w:eastAsia="Arial" w:hAnsi="Arial"/>
          <w:b/>
          <w:bCs/>
          <w:color w:val="1B3A5C"/>
          <w:sz w:val="24"/>
          <w:szCs w:val="24"/>
        </w:rPr>
        <w:t xml:space="preserve">7.2.3 Selection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Single Best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Hallucination tolerance: medium or high. Complexity: simple or moderate.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Select the single highest-scoring model for the task profile. Execute once. Return result.</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Consensus (2-model)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Hallucination tolerance: low. Any complexity.</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Run the query on the top 2 models in parallel. Compare outputs. If they agree on key facts, return the better-written one. If they disagree, flag discrepancies for user review.</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Consensus (3-model)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Hallucination tolerance: zero. Used for all recall queries and client-facing operations.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Run the query on the top 3 models. Fact-level comparison: extract factual claims from each output and cross-reference. Only claims present in 2+ model outputs AND supported by retrieved knowledge objects are included in the final response. Unsupported claims are stripped.</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Staged Pipeline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Complex operations (due diligence, SoW) with multiple subtask types.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Decompose the operation into subtasks (research, analysis, writing, formatting). Route each subtask to its best model independently. Assemble final output from subtask results.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Fallback Chain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Primary model returns error, timeout, or low-confidence result.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If the primary model fails or returns a response the validator rejects, automatically retry with the next-ranked model. Maximum 3 attempts.</w:t>
            </w:r>
          </w:p>
        </w:tc>
      </w:tr>
    </w:tbl>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8. Output Validator</w:t>
      </w:r>
    </w:p>
    <w:p>
      <w:pPr>
        <w:spacing w:after="120" w:line="276"/>
      </w:pPr>
      <w:r>
        <w:rPr>
          <w:rFonts w:ascii="Arial" w:cs="Arial" w:eastAsia="Arial" w:hAnsi="Arial"/>
          <w:color w:val="333333"/>
          <w:sz w:val="20"/>
          <w:szCs w:val="20"/>
        </w:rPr>
        <w:t xml:space="preserve">The output validator is the anti-hallucination layer. It runs after every model response, before the result is returned to the user. It performs three checks:</w:t>
      </w:r>
    </w:p>
    <w:p>
      <w:pPr>
        <w:spacing w:after="120"/>
      </w:pPr>
    </w:p>
    <w:p>
      <w:pPr>
        <w:pStyle w:val="ListParagraph"/>
        <w:numPr>
          <w:ilvl w:val="0"/>
          <w:numId w:val="6"/>
        </w:numPr>
        <w:spacing w:after="60" w:line="276"/>
      </w:pPr>
      <w:r>
        <w:rPr>
          <w:rFonts w:ascii="Arial" w:cs="Arial" w:eastAsia="Arial" w:hAnsi="Arial"/>
          <w:color w:val="333333"/>
          <w:sz w:val="20"/>
          <w:szCs w:val="20"/>
        </w:rPr>
        <w:t xml:space="preserve">Grounding Check: Every factual claim in the model’s response is compared against the knowledge objects that were provided as context. Claims that cannot be traced to a specific knowledge object are flagged as “ungrounded.” Ungrounded claims are either removed (zero tolerance), flagged with a warning (low tolerance), or left in place with a note (medium tolerance).</w:t>
      </w:r>
    </w:p>
    <w:p>
      <w:pPr>
        <w:pStyle w:val="ListParagraph"/>
        <w:numPr>
          <w:ilvl w:val="0"/>
          <w:numId w:val="6"/>
        </w:numPr>
        <w:spacing w:after="60" w:line="276"/>
      </w:pPr>
      <w:r>
        <w:rPr>
          <w:rFonts w:ascii="Arial" w:cs="Arial" w:eastAsia="Arial" w:hAnsi="Arial"/>
          <w:color w:val="333333"/>
          <w:sz w:val="20"/>
          <w:szCs w:val="20"/>
        </w:rPr>
        <w:t xml:space="preserve">Schema Compliance: For structured outputs (JSON, operation templates), the response is validated against the expected schema. Missing fields, wrong types, or extra fields trigger a re-prompt to the same model with specific correction instructions.</w:t>
      </w:r>
    </w:p>
    <w:p>
      <w:pPr>
        <w:pStyle w:val="ListParagraph"/>
        <w:numPr>
          <w:ilvl w:val="0"/>
          <w:numId w:val="6"/>
        </w:numPr>
        <w:spacing w:after="60" w:line="276"/>
      </w:pPr>
      <w:r>
        <w:rPr>
          <w:rFonts w:ascii="Arial" w:cs="Arial" w:eastAsia="Arial" w:hAnsi="Arial"/>
          <w:color w:val="333333"/>
          <w:sz w:val="20"/>
          <w:szCs w:val="20"/>
        </w:rPr>
        <w:t xml:space="preserve">Consistency Check: For consensus strategies, the validator cross-references claims across model outputs. A claim must appear in the majority of outputs to pass. Conflicting claims are surfaced to the user with the source models identified, allowing the user to adjudicate.</w:t>
      </w:r>
    </w:p>
    <w:p>
      <w:pPr>
        <w:spacing w:after="120"/>
      </w:pPr>
    </w:p>
    <w:p>
      <w:pPr>
        <w:pStyle w:val="Heading2"/>
        <w:spacing w:after="120" w:before="280"/>
      </w:pPr>
      <w:r>
        <w:rPr>
          <w:rFonts w:ascii="Arial" w:cs="Arial" w:eastAsia="Arial" w:hAnsi="Arial"/>
          <w:b/>
          <w:bCs/>
          <w:color w:val="1B3A5C"/>
          <w:sz w:val="24"/>
          <w:szCs w:val="24"/>
        </w:rPr>
        <w:t xml:space="preserve">8.1 Grounding Check: Technical Implementation</w:t>
      </w:r>
    </w:p>
    <w:p>
      <w:pPr>
        <w:spacing w:after="120" w:line="276"/>
      </w:pPr>
      <w:r>
        <w:rPr>
          <w:rFonts w:ascii="Arial" w:cs="Arial" w:eastAsia="Arial" w:hAnsi="Arial"/>
          <w:color w:val="333333"/>
          <w:sz w:val="20"/>
          <w:szCs w:val="20"/>
        </w:rPr>
        <w:t xml:space="preserve">The grounding check uses a two-pass approach:</w:t>
      </w:r>
    </w:p>
    <w:p>
      <w:pPr>
        <w:spacing w:after="120"/>
      </w:pPr>
    </w:p>
    <w:p>
      <w:pPr>
        <w:pStyle w:val="ListParagraph"/>
        <w:numPr>
          <w:ilvl w:val="0"/>
          <w:numId w:val="7"/>
        </w:numPr>
        <w:spacing w:after="60" w:line="276"/>
      </w:pPr>
      <w:r>
        <w:rPr>
          <w:rFonts w:ascii="Arial" w:cs="Arial" w:eastAsia="Arial" w:hAnsi="Arial"/>
          <w:b/>
          <w:bCs/>
          <w:color w:val="333333"/>
          <w:sz w:val="20"/>
          <w:szCs w:val="20"/>
        </w:rPr>
        <w:t xml:space="preserve">Pass 1 — Claim Extraction: </w:t>
      </w:r>
      <w:r>
        <w:rPr>
          <w:rFonts w:ascii="Arial" w:cs="Arial" w:eastAsia="Arial" w:hAnsi="Arial"/>
          <w:color w:val="333333"/>
          <w:sz w:val="20"/>
          <w:szCs w:val="20"/>
        </w:rPr>
        <w:t xml:space="preserve">A lightweight model (Claude Haiku or equivalent) extracts individual factual claims from the response as a JSON array. Each claim is a single assertion: “CASS uses a Synology NAS for backups”, “The backup schedule is unconfirmed.”</w:t>
      </w:r>
    </w:p>
    <w:p>
      <w:pPr>
        <w:pStyle w:val="ListParagraph"/>
        <w:numPr>
          <w:ilvl w:val="0"/>
          <w:numId w:val="7"/>
        </w:numPr>
        <w:spacing w:after="60" w:line="276"/>
      </w:pPr>
      <w:r>
        <w:rPr>
          <w:rFonts w:ascii="Arial" w:cs="Arial" w:eastAsia="Arial" w:hAnsi="Arial"/>
          <w:b/>
          <w:bCs/>
          <w:color w:val="333333"/>
          <w:sz w:val="20"/>
          <w:szCs w:val="20"/>
        </w:rPr>
        <w:t xml:space="preserve">Pass 2 — Claim Verification: </w:t>
      </w:r>
      <w:r>
        <w:rPr>
          <w:rFonts w:ascii="Arial" w:cs="Arial" w:eastAsia="Arial" w:hAnsi="Arial"/>
          <w:color w:val="333333"/>
          <w:sz w:val="20"/>
          <w:szCs w:val="20"/>
        </w:rPr>
        <w:t xml:space="preserve">Each extracted claim is compared against the retrieved knowledge objects using semantic similarity (embedding cosine distance) and exact-match keyword checking. A claim is “grounded” if it matches a knowledge object with similarity &gt; 0.85 AND contains no factual assertions absent from the matched object.</w:t>
      </w:r>
    </w:p>
    <w:p>
      <w:pPr>
        <w:spacing w:after="120"/>
      </w:pPr>
    </w:p>
    <w:p>
      <w:pPr>
        <w:spacing w:after="120" w:line="276"/>
      </w:pPr>
      <w:r>
        <w:rPr>
          <w:rFonts w:ascii="Arial" w:cs="Arial" w:eastAsia="Arial" w:hAnsi="Arial"/>
          <w:color w:val="333333"/>
          <w:sz w:val="20"/>
          <w:szCs w:val="20"/>
        </w:rPr>
        <w:t xml:space="preserve">Claims derived from the user’s own knowledge objects with observed confidence are treated as reliable. Claims derived from represented or unverified objects carry a warning. Claims with no knowledge object match at all are flagged as potentially hallucinated.</w:t>
      </w:r>
    </w:p>
    <w:p>
      <w:pPr>
        <w:spacing w:after="120"/>
      </w:pPr>
    </w:p>
    <w:p>
      <w:pPr>
        <w:pStyle w:val="Heading2"/>
        <w:spacing w:after="120" w:before="280"/>
      </w:pPr>
      <w:r>
        <w:rPr>
          <w:rFonts w:ascii="Arial" w:cs="Arial" w:eastAsia="Arial" w:hAnsi="Arial"/>
          <w:b/>
          <w:bCs/>
          <w:color w:val="1B3A5C"/>
          <w:sz w:val="24"/>
          <w:szCs w:val="24"/>
        </w:rPr>
        <w:t xml:space="preserve">8.2 Response Confidence Score</w:t>
      </w:r>
    </w:p>
    <w:p>
      <w:pPr>
        <w:spacing w:after="120" w:line="276"/>
      </w:pPr>
      <w:r>
        <w:rPr>
          <w:rFonts w:ascii="Arial" w:cs="Arial" w:eastAsia="Arial" w:hAnsi="Arial"/>
          <w:color w:val="333333"/>
          <w:sz w:val="20"/>
          <w:szCs w:val="20"/>
        </w:rPr>
        <w:t xml:space="preserve">Every response returned to the user includes a confidence score (0–100) calculated as:</w:t>
      </w:r>
    </w:p>
    <w:p>
      <w:pPr>
        <w:spacing w:after="120"/>
      </w:pPr>
    </w:p>
    <w:p>
      <w:pPr>
        <w:pStyle w:val="ListParagraph"/>
        <w:numPr>
          <w:ilvl w:val="0"/>
          <w:numId w:val="8"/>
        </w:numPr>
        <w:spacing w:after="60" w:line="276"/>
      </w:pPr>
      <w:r>
        <w:rPr>
          <w:rFonts w:ascii="Arial" w:cs="Arial" w:eastAsia="Arial" w:hAnsi="Arial"/>
          <w:color w:val="333333"/>
          <w:sz w:val="20"/>
          <w:szCs w:val="20"/>
        </w:rPr>
        <w:t xml:space="preserve">Base score: percentage of factual claims that are grounded (e.g., 8 of 10 claims grounded = 80).</w:t>
      </w:r>
    </w:p>
    <w:p>
      <w:pPr>
        <w:pStyle w:val="ListParagraph"/>
        <w:numPr>
          <w:ilvl w:val="0"/>
          <w:numId w:val="8"/>
        </w:numPr>
        <w:spacing w:after="60" w:line="276"/>
      </w:pPr>
      <w:r>
        <w:rPr>
          <w:rFonts w:ascii="Arial" w:cs="Arial" w:eastAsia="Arial" w:hAnsi="Arial"/>
          <w:color w:val="333333"/>
          <w:sz w:val="20"/>
          <w:szCs w:val="20"/>
        </w:rPr>
        <w:t xml:space="preserve">Evidence quality modifier: +10 if majority of grounded claims trace to “observed” objects, +5 for “represented,” +0 for “unverified.”</w:t>
      </w:r>
    </w:p>
    <w:p>
      <w:pPr>
        <w:pStyle w:val="ListParagraph"/>
        <w:numPr>
          <w:ilvl w:val="0"/>
          <w:numId w:val="8"/>
        </w:numPr>
        <w:spacing w:after="60" w:line="276"/>
      </w:pPr>
      <w:r>
        <w:rPr>
          <w:rFonts w:ascii="Arial" w:cs="Arial" w:eastAsia="Arial" w:hAnsi="Arial"/>
          <w:color w:val="333333"/>
          <w:sz w:val="20"/>
          <w:szCs w:val="20"/>
        </w:rPr>
        <w:t xml:space="preserve">Consensus modifier: +10 if multi-model consensus was used and models agreed.</w:t>
      </w:r>
    </w:p>
    <w:p>
      <w:pPr>
        <w:pStyle w:val="ListParagraph"/>
        <w:numPr>
          <w:ilvl w:val="0"/>
          <w:numId w:val="8"/>
        </w:numPr>
        <w:spacing w:after="60" w:line="276"/>
      </w:pPr>
      <w:r>
        <w:rPr>
          <w:rFonts w:ascii="Arial" w:cs="Arial" w:eastAsia="Arial" w:hAnsi="Arial"/>
          <w:color w:val="333333"/>
          <w:sz w:val="20"/>
          <w:szCs w:val="20"/>
        </w:rPr>
        <w:t xml:space="preserve">Recency modifier: +5 if grounding objects are less than 30 days old, -5 if older than 180 days.</w:t>
      </w:r>
    </w:p>
    <w:p>
      <w:pPr>
        <w:spacing w:after="120"/>
      </w:pPr>
    </w:p>
    <w:p>
      <w:pPr>
        <w:spacing w:after="120" w:line="276"/>
      </w:pPr>
      <w:r>
        <w:rPr>
          <w:rFonts w:ascii="Arial" w:cs="Arial" w:eastAsia="Arial" w:hAnsi="Arial"/>
          <w:color w:val="333333"/>
          <w:sz w:val="20"/>
          <w:szCs w:val="20"/>
        </w:rPr>
        <w:t xml:space="preserve">The confidence score is displayed to the user as a simple indicator: High (80+), Medium (60–79), Low (40–59), Caution (&lt;40). Low and Caution responses include a note: “This response contains claims I couldn’t fully verify against your captured knowledge. Consider confirming before acting on it.”</w:t>
      </w:r>
    </w:p>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9. Model Performance Tracking</w:t>
      </w:r>
    </w:p>
    <w:p>
      <w:pPr>
        <w:spacing w:after="120" w:line="276"/>
      </w:pPr>
      <w:r>
        <w:rPr>
          <w:rFonts w:ascii="Arial" w:cs="Arial" w:eastAsia="Arial" w:hAnsi="Arial"/>
          <w:color w:val="333333"/>
          <w:sz w:val="20"/>
          <w:szCs w:val="20"/>
        </w:rPr>
        <w:t xml:space="preserve">The system continuously learns which models perform best for which task types by tracking outcomes:</w:t>
      </w:r>
    </w:p>
    <w:p>
      <w:pPr>
        <w:spacing w:after="120"/>
      </w:pPr>
    </w:p>
    <w:p>
      <w:pPr>
        <w:pStyle w:val="Heading2"/>
        <w:spacing w:after="120" w:before="280"/>
      </w:pPr>
      <w:r>
        <w:rPr>
          <w:rFonts w:ascii="Arial" w:cs="Arial" w:eastAsia="Arial" w:hAnsi="Arial"/>
          <w:b/>
          <w:bCs/>
          <w:color w:val="1B3A5C"/>
          <w:sz w:val="24"/>
          <w:szCs w:val="24"/>
        </w:rPr>
        <w:t xml:space="preserve">9.1 model_runs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Run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tenants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 isolation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model_id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VARCHAR(100)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OpenRouter model string used</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task_type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VARCHAR(50)</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Classified task type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hallucination_tolerance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Tolerance level applied</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selection_strategy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VARCHAR(30)</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single_best | consensus_2 | consensus_3 | staged | fallback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input_tokens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Tokens sent to model</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output_tokens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Tokens received from model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cost_usd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DECIMAL(8,4)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Actual cost of this run</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grounding_score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Percentage of claims grounded (0–100)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schema_valid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Whether output passed schema validation</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user_feedback</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ENUM NULL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accepted | edited | rejected (captured via UI)</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latency_ms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Total response time in milliseconds</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When the run executed</w:t>
            </w:r>
          </w:p>
        </w:tc>
      </w:tr>
    </w:tbl>
    <w:p>
      <w:pPr>
        <w:spacing w:after="120"/>
      </w:pPr>
    </w:p>
    <w:p>
      <w:pPr>
        <w:spacing w:after="120" w:line="276"/>
      </w:pPr>
      <w:r>
        <w:rPr>
          <w:rFonts w:ascii="Arial" w:cs="Arial" w:eastAsia="Arial" w:hAnsi="Arial"/>
          <w:color w:val="333333"/>
          <w:sz w:val="20"/>
          <w:szCs w:val="20"/>
        </w:rPr>
        <w:t xml:space="preserve">Over time, the aggregated model_runs data creates a feedback loop. The model selector’s capability scores are periodically recalibrated based on real-world performance: if Model A consistently gets lower grounding scores on recall tasks than Model B, Model A’s factual_accuracy score is adjusted downward. This means the system gets smarter about model selection the more it’s used.</w:t>
      </w:r>
    </w:p>
    <w:p>
      <w:pPr>
        <w:spacing w:after="120"/>
      </w:pP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10. API Extensions</w:t>
      </w:r>
    </w:p>
    <w:p>
      <w:pPr>
        <w:spacing w:after="120" w:line="276"/>
      </w:pPr>
      <w:r>
        <w:rPr>
          <w:rFonts w:ascii="Arial" w:cs="Arial" w:eastAsia="Arial" w:hAnsi="Arial"/>
          <w:color w:val="333333"/>
          <w:sz w:val="20"/>
          <w:szCs w:val="20"/>
        </w:rPr>
        <w:t xml:space="preserve">New endpoints added to the CVG-BRAIN API:</w:t>
      </w:r>
    </w:p>
    <w:p>
      <w:pPr>
        <w:spacing w:after="120"/>
      </w:pPr>
    </w:p>
    <w:p>
      <w:pPr>
        <w:pStyle w:val="Heading2"/>
        <w:spacing w:after="120" w:before="280"/>
      </w:pPr>
      <w:r>
        <w:rPr>
          <w:rFonts w:ascii="Arial" w:cs="Arial" w:eastAsia="Arial" w:hAnsi="Arial"/>
          <w:b/>
          <w:bCs/>
          <w:color w:val="1B3A5C"/>
          <w:sz w:val="24"/>
          <w:szCs w:val="24"/>
        </w:rPr>
        <w:t xml:space="preserve">10.1 Integration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/api/connectors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List configured connectors for tenant with status and last sync time.</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/api/connectors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Create new connector. Body: { connector_type, display_name, sync_config }. Initiates OAuth flow if applicable.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PATCH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/api/connectors/:id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Update connector config or status (pause/resume).</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DELETE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/api/connectors/:id</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Remove connector. Optionally delete all knowledge objects sourced from it.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/api/connectors/:id/sync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Trigger manual sync (bypasses schedule). Returns sync_run_id for polling.</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/api/connectors/:id/runs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List sync run history with item counts and error summaries.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/api/connectors/:id/runs/:runId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Detailed sync run results including per-item errors.</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/api/connectors/oauth/callback</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OAuth2 callback handler for Google, Microsoft, Slack.</w:t>
            </w:r>
          </w:p>
        </w:tc>
      </w:tr>
    </w:tbl>
    <w:p>
      <w:pPr>
        <w:spacing w:after="120"/>
      </w:pPr>
    </w:p>
    <w:p>
      <w:pPr>
        <w:pStyle w:val="Heading2"/>
        <w:spacing w:after="120" w:before="280"/>
      </w:pPr>
      <w:r>
        <w:rPr>
          <w:rFonts w:ascii="Arial" w:cs="Arial" w:eastAsia="Arial" w:hAnsi="Arial"/>
          <w:b/>
          <w:bCs/>
          <w:color w:val="1B3A5C"/>
          <w:sz w:val="24"/>
          <w:szCs w:val="24"/>
        </w:rPr>
        <w:t xml:space="preserve">10.2 Model Intelligence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/api/models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List all models in the pool with capability scores and status.</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PATCH</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/api/models/:id</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Update model capability scores or toggle active status.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/api/models/stats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Aggregated performance statistics: average grounding scores, cost, latency by model and task type.</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/api/models/benchmark</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Trigger a benchmark run: executes standardized test prompts across all active models and updates capability scores.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/api/runs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Query model run history with filters: model, task_type, date_range, grounding_score_range.</w:t>
            </w:r>
          </w:p>
        </w:tc>
      </w:tr>
    </w:tbl>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11. Security Considerations for Integrations</w:t>
      </w:r>
    </w:p>
    <w:p>
      <w:pPr>
        <w:spacing w:after="120"/>
      </w:pPr>
    </w:p>
    <w:p>
      <w:pPr>
        <w:pStyle w:val="ListParagraph"/>
        <w:numPr>
          <w:ilvl w:val="0"/>
          <w:numId w:val="9"/>
        </w:numPr>
        <w:spacing w:after="60" w:line="276"/>
      </w:pPr>
      <w:r>
        <w:rPr>
          <w:rFonts w:ascii="Arial" w:cs="Arial" w:eastAsia="Arial" w:hAnsi="Arial"/>
          <w:b/>
          <w:bCs/>
          <w:color w:val="333333"/>
          <w:sz w:val="20"/>
          <w:szCs w:val="20"/>
        </w:rPr>
        <w:t xml:space="preserve">OAuth token storage: </w:t>
      </w:r>
      <w:r>
        <w:rPr>
          <w:rFonts w:ascii="Arial" w:cs="Arial" w:eastAsia="Arial" w:hAnsi="Arial"/>
          <w:color w:val="333333"/>
          <w:sz w:val="20"/>
          <w:szCs w:val="20"/>
        </w:rPr>
        <w:t xml:space="preserve">All OAuth2 refresh tokens are encrypted at rest using AES-256 and stored in Doppler or a dedicated secrets vault. Access tokens are short-lived (1 hour) and refreshed automatically. Tokens are never logged or exposed in API responses.</w:t>
      </w:r>
    </w:p>
    <w:p>
      <w:pPr>
        <w:pStyle w:val="ListParagraph"/>
        <w:numPr>
          <w:ilvl w:val="0"/>
          <w:numId w:val="9"/>
        </w:numPr>
        <w:spacing w:after="60" w:line="276"/>
      </w:pPr>
      <w:r>
        <w:rPr>
          <w:rFonts w:ascii="Arial" w:cs="Arial" w:eastAsia="Arial" w:hAnsi="Arial"/>
          <w:b/>
          <w:bCs/>
          <w:color w:val="333333"/>
          <w:sz w:val="20"/>
          <w:szCs w:val="20"/>
        </w:rPr>
        <w:t xml:space="preserve">Scope minimization: </w:t>
      </w:r>
      <w:r>
        <w:rPr>
          <w:rFonts w:ascii="Arial" w:cs="Arial" w:eastAsia="Arial" w:hAnsi="Arial"/>
          <w:color w:val="333333"/>
          <w:sz w:val="20"/>
          <w:szCs w:val="20"/>
        </w:rPr>
        <w:t xml:space="preserve">Each connector requests the minimum OAuth scopes required. Google Drive: read-only on configured folders. Gmail: read-only on configured labels. Calendar: read-only. No write access to any source system unless explicitly required (e.g., marking emails as processed).</w:t>
      </w:r>
    </w:p>
    <w:p>
      <w:pPr>
        <w:pStyle w:val="ListParagraph"/>
        <w:numPr>
          <w:ilvl w:val="0"/>
          <w:numId w:val="9"/>
        </w:numPr>
        <w:spacing w:after="60" w:line="276"/>
      </w:pPr>
      <w:r>
        <w:rPr>
          <w:rFonts w:ascii="Arial" w:cs="Arial" w:eastAsia="Arial" w:hAnsi="Arial"/>
          <w:b/>
          <w:bCs/>
          <w:color w:val="333333"/>
          <w:sz w:val="20"/>
          <w:szCs w:val="20"/>
        </w:rPr>
        <w:t xml:space="preserve">Data in transit: </w:t>
      </w:r>
      <w:r>
        <w:rPr>
          <w:rFonts w:ascii="Arial" w:cs="Arial" w:eastAsia="Arial" w:hAnsi="Arial"/>
          <w:color w:val="333333"/>
          <w:sz w:val="20"/>
          <w:szCs w:val="20"/>
        </w:rPr>
        <w:t xml:space="preserve">All connector API calls use TLS 1.2+. Webhook endpoints require HMAC signature validation.</w:t>
      </w:r>
    </w:p>
    <w:p>
      <w:pPr>
        <w:pStyle w:val="ListParagraph"/>
        <w:numPr>
          <w:ilvl w:val="0"/>
          <w:numId w:val="9"/>
        </w:numPr>
        <w:spacing w:after="60" w:line="276"/>
      </w:pPr>
      <w:r>
        <w:rPr>
          <w:rFonts w:ascii="Arial" w:cs="Arial" w:eastAsia="Arial" w:hAnsi="Arial"/>
          <w:b/>
          <w:bCs/>
          <w:color w:val="333333"/>
          <w:sz w:val="20"/>
          <w:szCs w:val="20"/>
        </w:rPr>
        <w:t xml:space="preserve">Source provenance: </w:t>
      </w:r>
      <w:r>
        <w:rPr>
          <w:rFonts w:ascii="Arial" w:cs="Arial" w:eastAsia="Arial" w:hAnsi="Arial"/>
          <w:color w:val="333333"/>
          <w:sz w:val="20"/>
          <w:szCs w:val="20"/>
        </w:rPr>
        <w:t xml:space="preserve">Every knowledge object retains a link to its source connector and source item. This enables audit trails: “This fact was extracted from email [subject] received on [date] via the Gmail connector.”</w:t>
      </w:r>
    </w:p>
    <w:p>
      <w:pPr>
        <w:pStyle w:val="ListParagraph"/>
        <w:numPr>
          <w:ilvl w:val="0"/>
          <w:numId w:val="9"/>
        </w:numPr>
        <w:spacing w:after="60" w:line="276"/>
      </w:pPr>
      <w:r>
        <w:rPr>
          <w:rFonts w:ascii="Arial" w:cs="Arial" w:eastAsia="Arial" w:hAnsi="Arial"/>
          <w:b/>
          <w:bCs/>
          <w:color w:val="333333"/>
          <w:sz w:val="20"/>
          <w:szCs w:val="20"/>
        </w:rPr>
        <w:t xml:space="preserve">Connector isolation: </w:t>
      </w:r>
      <w:r>
        <w:rPr>
          <w:rFonts w:ascii="Arial" w:cs="Arial" w:eastAsia="Arial" w:hAnsi="Arial"/>
          <w:color w:val="333333"/>
          <w:sz w:val="20"/>
          <w:szCs w:val="20"/>
        </w:rPr>
        <w:t xml:space="preserve">Connector credentials are tenant-scoped. A connector configured by Tenant A cannot access Tenant B’s source systems. RLS policies extend to all integration tables.</w:t>
      </w:r>
    </w:p>
    <w:p>
      <w:pPr>
        <w:pStyle w:val="ListParagraph"/>
        <w:numPr>
          <w:ilvl w:val="0"/>
          <w:numId w:val="9"/>
        </w:numPr>
        <w:spacing w:after="60" w:line="276"/>
      </w:pPr>
      <w:r>
        <w:rPr>
          <w:rFonts w:ascii="Arial" w:cs="Arial" w:eastAsia="Arial" w:hAnsi="Arial"/>
          <w:b/>
          <w:bCs/>
          <w:color w:val="333333"/>
          <w:sz w:val="20"/>
          <w:szCs w:val="20"/>
        </w:rPr>
        <w:t xml:space="preserve">Multi-model data exposure: </w:t>
      </w:r>
      <w:r>
        <w:rPr>
          <w:rFonts w:ascii="Arial" w:cs="Arial" w:eastAsia="Arial" w:hAnsi="Arial"/>
          <w:color w:val="333333"/>
          <w:sz w:val="20"/>
          <w:szCs w:val="20"/>
        </w:rPr>
        <w:t xml:space="preserve">When using consensus strategies, the same context is sent to multiple model providers. The user must acknowledge this during connector setup if any source may contain sensitive data. For PHI-containing knowledge, consensus is restricted to HIPAA-eligible providers only.</w:t>
      </w:r>
    </w:p>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12. Updated Phase Roadmap</w:t>
      </w:r>
    </w:p>
    <w:p>
      <w:pPr>
        <w:spacing w:after="120" w:line="276"/>
      </w:pPr>
      <w:r>
        <w:rPr>
          <w:rFonts w:ascii="Arial" w:cs="Arial" w:eastAsia="Arial" w:hAnsi="Arial"/>
          <w:color w:val="333333"/>
          <w:sz w:val="20"/>
          <w:szCs w:val="20"/>
        </w:rPr>
        <w:t xml:space="preserve">The integration layer and model intelligence engine slot into the existing CVG-BRAIN phase roadmap: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MVP: Dump + Recall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Voice capture, transcription, extraction, knowledge store, single-model recall. (No change from base spec.)</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Model Intelligence (Core)</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Task classifier, model selector with capability scoring, output validator with grounding checks, response confidence scores. Replaces static model routing in MVP.</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Integrations (Tier 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Drive, Gmail, Calendar, and AI Conversation Export connectors. Background sync jobs. Deduplication. Source provenance tracking.</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2.5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Operate + Consensus</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Operations engine with context injection. Multi-model consensus for client-facing outputs. Staged pipeline for complex operations.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Surface + Performance Tracking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Proactive notifications, commitment tracking, pattern detection. Model performance tracking with automatic capability recalibration.</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Integrations (Tier 2)</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NinjaOne, ConnectWise/Halo PSA, Microsoft 365, Slack connectors.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Multi-Tenant + Billing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Tenant provisioning, invite flows, RBAC, usage-based billing (Stripe). Model cost tracking per tenant.</w:t>
            </w:r>
          </w:p>
        </w:tc>
      </w:tr>
      <w:tr>
        <w:trPr>
          <w:tblHeader w:val="false"/>
        </w:trP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Ecosystem + HIPAA</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Cavaridge app integrations, generic webhook connector, import tools, HIPAA hardening with PHI-aware model routing.</w:t>
            </w:r>
          </w:p>
        </w:tc>
      </w:tr>
    </w:tbl>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13. Cost Impact</w:t>
      </w:r>
    </w:p>
    <w:p>
      <w:pPr>
        <w:spacing w:after="120" w:line="276"/>
      </w:pPr>
      <w:r>
        <w:rPr>
          <w:rFonts w:ascii="Arial" w:cs="Arial" w:eastAsia="Arial" w:hAnsi="Arial"/>
          <w:color w:val="333333"/>
          <w:sz w:val="20"/>
          <w:szCs w:val="20"/>
        </w:rPr>
        <w:t xml:space="preserve">The integration layer and model intelligence engine add cost in two categories:</w:t>
      </w:r>
    </w:p>
    <w:p>
      <w:pPr>
        <w:spacing w:after="120"/>
      </w:pPr>
    </w:p>
    <w:p>
      <w:pPr>
        <w:pStyle w:val="Heading2"/>
        <w:spacing w:after="120" w:before="280"/>
      </w:pPr>
      <w:r>
        <w:rPr>
          <w:rFonts w:ascii="Arial" w:cs="Arial" w:eastAsia="Arial" w:hAnsi="Arial"/>
          <w:b/>
          <w:bCs/>
          <w:color w:val="1B3A5C"/>
          <w:sz w:val="24"/>
          <w:szCs w:val="24"/>
        </w:rPr>
        <w:t xml:space="preserve">13.1 Integration Layer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Additional Monthly Cost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Workspace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 within quota limits. Rate limiting may require batching.</w:t>
            </w:r>
          </w:p>
        </w:tc>
      </w:tr>
      <w:tr>
        <w:trPr>
          <w:tblHeader w:val="false"/>
        </w:trP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NinjaOne API</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Included with NinjaOne subscription.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ConnectWise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Included with PSA subscription.</w:t>
            </w:r>
          </w:p>
        </w:tc>
      </w:tr>
      <w:tr>
        <w:trPr>
          <w:tblHeader w:val="false"/>
        </w:trP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LLM extraction (integration sources)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$30–100</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Additional extraction calls for ingested documents, emails, and events.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Embedding 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$5–20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Additional embeddings for integration-sourced knowledge objects.</w:t>
            </w:r>
          </w:p>
        </w:tc>
      </w:tr>
    </w:tbl>
    <w:p>
      <w:pPr>
        <w:spacing w:after="120"/>
      </w:pPr>
    </w:p>
    <w:p>
      <w:pPr>
        <w:pStyle w:val="Heading2"/>
        <w:spacing w:after="120" w:before="280"/>
      </w:pPr>
      <w:r>
        <w:rPr>
          <w:rFonts w:ascii="Arial" w:cs="Arial" w:eastAsia="Arial" w:hAnsi="Arial"/>
          <w:b/>
          <w:bCs/>
          <w:color w:val="1B3A5C"/>
          <w:sz w:val="24"/>
          <w:szCs w:val="24"/>
        </w:rPr>
        <w:t xml:space="preserve">13.2 Model Intelligence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Additional Monthly Cost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Consensus (2-model)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1.5–2x per query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Running 2 models instead of 1 on low-tolerance queries.</w:t>
            </w:r>
          </w:p>
        </w:tc>
      </w:tr>
      <w:tr>
        <w:trPr>
          <w:tblHeader w:val="false"/>
        </w:trP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Consensus (3-model)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2.5–3x per query</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Running 3 models on zero-tolerance recall queries.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Grounding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$10–30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Lightweight model calls for claim extraction and verification.</w:t>
            </w:r>
          </w:p>
        </w:tc>
      </w:tr>
      <w:tr>
        <w:trPr>
          <w:tblHeader w:val="false"/>
        </w:trP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Benchmarking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$5–15</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Periodic benchmark runs across model pool.</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Estimated total addition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$80–250/month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On top of base MVP costs. Scales with usage and tolerance settings.</w:t>
            </w:r>
          </w:p>
        </w:tc>
      </w:tr>
    </w:tbl>
    <w:p>
      <w:pPr>
        <w:spacing w:after="120"/>
      </w:pPr>
    </w:p>
    <w:p>
      <w:pPr>
        <w:spacing w:after="120" w:line="276"/>
      </w:pPr>
      <w:r>
        <w:rPr>
          <w:rFonts w:ascii="Arial" w:cs="Arial" w:eastAsia="Arial" w:hAnsi="Arial"/>
          <w:color w:val="333333"/>
          <w:sz w:val="20"/>
          <w:szCs w:val="20"/>
        </w:rPr>
        <w:t xml:space="preserve">Total estimated operating cost with integrations and model intelligence: $200–600/month at single-user scale. The majority of cost is LLM usage, which scales linearly with capture volume and query frequency. Consensus strategies are the largest cost driver; users can configure tolerance levels to balance accuracy vs. cost.</w:t>
      </w:r>
    </w:p>
    <w:p>
      <w:pPr>
        <w:spacing w:after="120"/>
      </w:pPr>
    </w:p>
    <w:p>
      <w:pPr>
        <w:spacing w:after="200"/>
      </w:pPr>
    </w:p>
    <w:p>
      <w:pPr>
        <w:pBdr>
          <w:top w:val="single" w:color="2E75B6" w:sz="2" w:space="8"/>
        </w:pBdr>
        <w:spacing w:before="200"/>
        <w:jc w:val="center"/>
      </w:pPr>
      <w:r>
        <w:rPr>
          <w:rFonts w:ascii="Arial" w:cs="Arial" w:eastAsia="Arial" w:hAnsi="Arial"/>
          <w:color w:val="555555"/>
          <w:sz w:val="18"/>
          <w:szCs w:val="18"/>
        </w:rPr>
        <w:t xml:space="preserve">Cavaridge, LLC  —  D-U-N-S: 138750552  —  cavaridge.com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Cavaridge, LLC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555555"/>
        <w:sz w:val="16"/>
        <w:szCs w:val="16"/>
      </w:rPr>
      <w:t xml:space="preserve">CVG-BRAIN  —  Addendum A: Integration &amp; Model Intelligence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3"/>
    <w:lvlOverride w:ilvl="0">
      <w:startOverride w:val="1"/>
    </w:lvlOverride>
  </w:num>
  <w:num w:numId="7">
    <w:abstractNumId w:val="10"/>
    <w:lvlOverride w:ilvl="0">
      <w:startOverride w:val="1"/>
    </w:lvlOverride>
  </w:num>
  <w:num w:numId="8">
    <w:abstractNumId w:val="12"/>
    <w:lvlOverride w:ilvl="0">
      <w:startOverride w:val="1"/>
    </w:lvlOverride>
  </w:num>
  <w:num w:numId="9">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2026-03-09T15:05:36.072Z</dcterms:created>
  <dcterms:modified xsi:type="dcterms:W3CDTF">2026-03-09T15:05:36.073Z</dcterms:modified>
</cp:coreProperties>
</file>

<file path=docProps/custom.xml><?xml version="1.0" encoding="utf-8"?>
<Properties xmlns="http://schemas.openxmlformats.org/officeDocument/2006/custom-properties" xmlns:vt="http://schemas.openxmlformats.org/officeDocument/2006/docPropsVTypes"/>
</file>