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E5090"/>
          <w:sz w:val="48"/>
          <w:szCs w:val="48"/>
        </w:rPr>
        <w:t xml:space="preserve">CAVARIDGE PLATFORM</w:t>
      </w:r>
    </w:p>
    <w:p>
      <w:pPr>
        <w:spacing w:after="120"/>
        <w:jc w:val="center"/>
      </w:pPr>
      <w:r>
        <w:rPr>
          <w:rFonts w:ascii="Arial" w:cs="Arial" w:eastAsia="Arial" w:hAnsi="Arial"/>
          <w:color w:val="1A1A1A"/>
          <w:sz w:val="36"/>
          <w:szCs w:val="36"/>
        </w:rPr>
        <w:t xml:space="preserve">Architecture Addendum A</w:t>
      </w:r>
    </w:p>
    <w:p>
      <w:pPr>
        <w:spacing w:after="60"/>
        <w:jc w:val="center"/>
      </w:pPr>
      <w:r>
        <w:rPr>
          <w:rFonts w:ascii="Arial" w:cs="Arial" w:eastAsia="Arial" w:hAnsi="Arial"/>
          <w:color w:val="666666"/>
          <w:sz w:val="24"/>
          <w:szCs w:val="24"/>
        </w:rPr>
        <w:t xml:space="preserve">Domain Expertise Agent Layer &amp; Universal Connector Framework</w:t>
      </w:r>
    </w:p>
    <w:p>
      <w:pPr>
        <w:spacing w:after="60"/>
      </w:pPr>
    </w:p>
    <w:p>
      <w:pPr>
        <w:spacing w:after="60"/>
      </w:pPr>
    </w:p>
    <w:p>
      <w:pPr>
        <w:spacing w:after="60"/>
        <w:jc w:val="center"/>
      </w:pPr>
      <w:r>
        <w:rPr>
          <w:rFonts w:ascii="Arial" w:cs="Arial" w:eastAsia="Arial" w:hAnsi="Arial"/>
          <w:color w:val="999999"/>
          <w:sz w:val="20"/>
          <w:szCs w:val="20"/>
        </w:rPr>
        <w:t xml:space="preserve">CVG-ARCH-ADDENDUM-A-v1.0</w:t>
      </w:r>
    </w:p>
    <w:p>
      <w:pPr>
        <w:spacing w:after="60"/>
        <w:jc w:val="center"/>
      </w:pPr>
      <w:r>
        <w:rPr>
          <w:rFonts w:ascii="Arial" w:cs="Arial" w:eastAsia="Arial" w:hAnsi="Arial"/>
          <w:color w:val="999999"/>
          <w:sz w:val="20"/>
          <w:szCs w:val="20"/>
        </w:rPr>
        <w:t xml:space="preserve">March 15, 2026</w:t>
      </w:r>
    </w:p>
    <w:p>
      <w:pPr>
        <w:spacing w:after="60"/>
        <w:jc w:val="center"/>
      </w:pPr>
      <w:r>
        <w:rPr>
          <w:rFonts w:ascii="Arial" w:cs="Arial" w:eastAsia="Arial" w:hAnsi="Arial"/>
          <w:color w:val="999999"/>
          <w:sz w:val="18"/>
          <w:szCs w:val="18"/>
        </w:rPr>
        <w:t xml:space="preserve">Prepared for: Cavaridge, LLC — IP Owner: Cavaridge, LLC (D-U-N-S: 138750552)</w:t>
      </w:r>
    </w:p>
    <w:p>
      <w:r>
        <w:br w:type="page"/>
      </w:r>
    </w:p>
    <w:p>
      <w:pPr>
        <w:pStyle w:val="Heading1"/>
        <w:spacing w:before="360" w:after="200"/>
      </w:pPr>
      <w:r>
        <w:rPr>
          <w:rFonts w:ascii="Arial" w:cs="Arial" w:eastAsia="Arial" w:hAnsi="Arial"/>
          <w:b/>
          <w:bCs/>
          <w:color w:val="2E5090"/>
          <w:sz w:val="32"/>
          <w:szCs w:val="32"/>
        </w:rPr>
        <w:t xml:space="preserve">1. Executive Summary</w:t>
      </w:r>
    </w:p>
    <w:p>
      <w:pPr>
        <w:spacing w:after="120"/>
      </w:pPr>
      <w:r>
        <w:rPr>
          <w:rFonts w:ascii="Arial" w:cs="Arial" w:eastAsia="Arial" w:hAnsi="Arial"/>
          <w:sz w:val="22"/>
          <w:szCs w:val="22"/>
        </w:rPr>
        <w:t xml:space="preserve">This addendum extends the Cavaridge Agent-First Platform Architecture (approved March 12, 2026) with two critical layers that were identified as architectural gaps during platform review:</w:t>
      </w:r>
    </w:p>
    <w:p>
      <w:pPr>
        <w:spacing w:after="60"/>
      </w:pPr>
    </w:p>
    <w:p>
      <w:pPr>
        <w:spacing w:after="120"/>
      </w:pPr>
      <w:r>
        <w:rPr>
          <w:rFonts w:ascii="Arial" w:cs="Arial" w:eastAsia="Arial" w:hAnsi="Arial"/>
          <w:b/>
          <w:bCs/>
          <w:sz w:val="22"/>
          <w:szCs w:val="22"/>
        </w:rPr>
        <w:t xml:space="preserve">Domain Expertise Agent Layer: </w:t>
      </w:r>
      <w:r>
        <w:rPr>
          <w:rFonts w:ascii="Arial" w:cs="Arial" w:eastAsia="Arial" w:hAnsi="Arial"/>
          <w:sz w:val="22"/>
          <w:szCs w:val="22"/>
        </w:rPr>
        <w:t xml:space="preserve">A new tier of knowledge-specialist agents that provide deep regulatory, industry, and functional domain knowledge to every functional agent in the platform. These are shared universally — any Cavaridge app can query any domain agent.</w:t>
      </w:r>
    </w:p>
    <w:p>
      <w:pPr>
        <w:spacing w:after="60"/>
      </w:pPr>
    </w:p>
    <w:p>
      <w:pPr>
        <w:spacing w:after="120"/>
      </w:pPr>
      <w:r>
        <w:rPr>
          <w:rFonts w:ascii="Arial" w:cs="Arial" w:eastAsia="Arial" w:hAnsi="Arial"/>
          <w:b/>
          <w:bCs/>
          <w:sz w:val="22"/>
          <w:szCs w:val="22"/>
        </w:rPr>
        <w:t xml:space="preserve">Universal Connector Marketplace Framework: </w:t>
      </w:r>
      <w:r>
        <w:rPr>
          <w:rFonts w:ascii="Arial" w:cs="Arial" w:eastAsia="Arial" w:hAnsi="Arial"/>
          <w:sz w:val="22"/>
          <w:szCs w:val="22"/>
        </w:rPr>
        <w:t xml:space="preserve">An expansion of the initial 10-connector spec to 25+ connectors spanning MSP, healthcare, finance, CRM, and developer verticals, plus a tenant-requestable marketplace framework for future extensibility.</w:t>
      </w:r>
    </w:p>
    <w:p>
      <w:pPr>
        <w:spacing w:after="60"/>
      </w:pPr>
    </w:p>
    <w:p>
      <w:pPr>
        <w:spacing w:after="120"/>
      </w:pPr>
      <w:r>
        <w:rPr>
          <w:rFonts w:ascii="Arial" w:cs="Arial" w:eastAsia="Arial" w:hAnsi="Arial"/>
          <w:sz w:val="22"/>
          <w:szCs w:val="22"/>
        </w:rPr>
        <w:t xml:space="preserve">These additions do not replace the existing 7 shared functional agents or 5 product-specific agents. They layer beneath and alongside them, creating a three-tier agent architecture: Domain Agents (what they know) → Functional Agents (what they do) → Product Agents (app-specific orchestration).</w:t>
      </w:r>
    </w:p>
    <w:p>
      <w:r>
        <w:br w:type="page"/>
      </w:r>
    </w:p>
    <w:p>
      <w:pPr>
        <w:pStyle w:val="Heading1"/>
        <w:spacing w:before="360" w:after="200"/>
      </w:pPr>
      <w:r>
        <w:rPr>
          <w:rFonts w:ascii="Arial" w:cs="Arial" w:eastAsia="Arial" w:hAnsi="Arial"/>
          <w:b/>
          <w:bCs/>
          <w:color w:val="2E5090"/>
          <w:sz w:val="32"/>
          <w:szCs w:val="32"/>
        </w:rPr>
        <w:t xml:space="preserve">2. Three-Tier Agent Architecture</w:t>
      </w:r>
    </w:p>
    <w:p>
      <w:pPr>
        <w:spacing w:after="120"/>
      </w:pPr>
      <w:r>
        <w:rPr>
          <w:rFonts w:ascii="Arial" w:cs="Arial" w:eastAsia="Arial" w:hAnsi="Arial"/>
          <w:sz w:val="22"/>
          <w:szCs w:val="22"/>
        </w:rPr>
        <w:t xml:space="preserve">The original architecture defined two tiers: shared functional agents and product-specific agents. This addendum introduces a foundational third tier beneath both — domain expertise agents that any functional or product agent can consult.</w:t>
      </w:r>
    </w:p>
    <w:p>
      <w:pPr>
        <w:spacing w:after="60"/>
      </w:pPr>
    </w:p>
    <w:p>
      <w:pPr>
        <w:pStyle w:val="Heading2"/>
        <w:spacing w:before="280" w:after="160"/>
      </w:pPr>
      <w:r>
        <w:rPr>
          <w:rFonts w:ascii="Arial" w:cs="Arial" w:eastAsia="Arial" w:hAnsi="Arial"/>
          <w:b/>
          <w:bCs/>
          <w:color w:val="1A1A1A"/>
          <w:sz w:val="28"/>
          <w:szCs w:val="28"/>
        </w:rPr>
        <w:t xml:space="preserve">2.1 Architecture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25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Invoked By</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Layer 1: Domain Agents</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Deep knowledge in regulatory, industry, and technical domains. Curated sources, guardrails, citation requirements.</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HIPAA Agent, Finance Agent, CMS/Medicare Agent, PCI-DSS Agent</w:t>
            </w:r>
          </w:p>
        </w:tc>
        <w:tc>
          <w:tcPr>
            <w:tcW w:type="dxa" w:w="2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Any functional agent, any product agent, Ducky orchestrator directly</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Layer 2: Functional Agents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Task execution: extract, analyze, score, generate, research. Parameterized per app.</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Document Analysis, Compliance Checker, Report Generator, Risk Scorer</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Product agents, app backends, Ducky orchestrator</w:t>
            </w:r>
          </w:p>
        </w:tc>
      </w:tr>
      <w:tr>
        <w:tc>
          <w:tcPr>
            <w:tcW w:type="dxa" w:w="18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Layer 3: Product Agents</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App-specific orchestration combining functional + domain agents into workflows.</w:t>
            </w:r>
          </w:p>
        </w:tc>
        <w:tc>
          <w:tcPr>
            <w:tcW w:type="dxa" w:w="2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Meridian Knowledge Graph Builder, Caelum SoW Generator, Ceres Medicare Calculator</w:t>
            </w:r>
          </w:p>
        </w:tc>
        <w:tc>
          <w:tcPr>
            <w:tcW w:type="dxa" w:w="25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App backends only</w:t>
            </w:r>
          </w:p>
        </w:tc>
      </w:tr>
    </w:tbl>
    <w:p>
      <w:pPr>
        <w:spacing w:after="60"/>
      </w:pPr>
    </w:p>
    <w:p>
      <w:pPr>
        <w:pStyle w:val="Heading2"/>
        <w:spacing w:before="280" w:after="160"/>
      </w:pPr>
      <w:r>
        <w:rPr>
          <w:rFonts w:ascii="Arial" w:cs="Arial" w:eastAsia="Arial" w:hAnsi="Arial"/>
          <w:b/>
          <w:bCs/>
          <w:color w:val="1A1A1A"/>
          <w:sz w:val="28"/>
          <w:szCs w:val="28"/>
        </w:rPr>
        <w:t xml:space="preserve">2.2 How Domain Agents Are Consumed</w:t>
      </w:r>
    </w:p>
    <w:p>
      <w:pPr>
        <w:spacing w:after="120"/>
      </w:pPr>
      <w:r>
        <w:rPr>
          <w:rFonts w:ascii="Arial" w:cs="Arial" w:eastAsia="Arial" w:hAnsi="Arial"/>
          <w:sz w:val="22"/>
          <w:szCs w:val="22"/>
        </w:rPr>
        <w:t xml:space="preserve">Domain agents expose a standard interface through @cavaridge/agent-core. Any agent at any tier can invoke a domain agent by specifying the domain identifier and a query payload. The domain agent returns structured knowledge with source citations, confidence scores, and regulatory version metadata.</w:t>
      </w:r>
    </w:p>
    <w:p>
      <w:pPr>
        <w:spacing w:after="60"/>
      </w:pPr>
    </w:p>
    <w:p>
      <w:pPr>
        <w:spacing w:after="120"/>
      </w:pPr>
      <w:r>
        <w:rPr>
          <w:rFonts w:ascii="Arial" w:cs="Arial" w:eastAsia="Arial" w:hAnsi="Arial"/>
          <w:b/>
          <w:bCs/>
          <w:sz w:val="22"/>
          <w:szCs w:val="22"/>
        </w:rPr>
        <w:t xml:space="preserve">Example flow: </w:t>
      </w:r>
      <w:r>
        <w:rPr>
          <w:rFonts w:ascii="Arial" w:cs="Arial" w:eastAsia="Arial" w:hAnsi="Arial"/>
          <w:sz w:val="22"/>
          <w:szCs w:val="22"/>
        </w:rPr>
        <w:t xml:space="preserve">Caelum’s SoW Generator (product agent) calls the Compliance Checker (functional agent) to validate a healthcare SoW. The Compliance Checker detects HIPAA-relevant content and queries the HIPAA Domain Agent for current Security Rule requirements. The HIPAA agent returns structured control mappings with CFR citations. The Compliance Checker uses this to produce gap findings. At no point does the SoW Generator need to know HIPAA rules directly.</w:t>
      </w:r>
    </w:p>
    <w:p>
      <w:r>
        <w:br w:type="page"/>
      </w:r>
    </w:p>
    <w:p>
      <w:pPr>
        <w:pStyle w:val="Heading1"/>
        <w:spacing w:before="360" w:after="200"/>
      </w:pPr>
      <w:r>
        <w:rPr>
          <w:rFonts w:ascii="Arial" w:cs="Arial" w:eastAsia="Arial" w:hAnsi="Arial"/>
          <w:b/>
          <w:bCs/>
          <w:color w:val="2E5090"/>
          <w:sz w:val="32"/>
          <w:szCs w:val="32"/>
        </w:rPr>
        <w:t xml:space="preserve">3. Domain Expertise Agents — Full Registry</w:t>
      </w:r>
    </w:p>
    <w:p>
      <w:pPr>
        <w:spacing w:after="120"/>
      </w:pPr>
      <w:r>
        <w:rPr>
          <w:rFonts w:ascii="Arial" w:cs="Arial" w:eastAsia="Arial" w:hAnsi="Arial"/>
          <w:sz w:val="22"/>
          <w:szCs w:val="22"/>
        </w:rPr>
        <w:t xml:space="preserve">All domain agents are shared universally across the Cavaridge platform. Each agent maintains curated knowledge bases, enforces domain-specific guardrails, and returns structured outputs with source attribution. Domain agents are versioned independently and track the regulatory/standard versions they are current against.</w:t>
      </w:r>
    </w:p>
    <w:p>
      <w:pPr>
        <w:spacing w:after="60"/>
      </w:pPr>
    </w:p>
    <w:p>
      <w:pPr>
        <w:pStyle w:val="Heading2"/>
        <w:spacing w:before="280" w:after="160"/>
      </w:pPr>
      <w:r>
        <w:rPr>
          <w:rFonts w:ascii="Arial" w:cs="Arial" w:eastAsia="Arial" w:hAnsi="Arial"/>
          <w:b/>
          <w:bCs/>
          <w:color w:val="1A1A1A"/>
          <w:sz w:val="28"/>
          <w:szCs w:val="28"/>
        </w:rPr>
        <w:t xml:space="preserve">3.1 HIPAA Compliance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hipaa</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Deep knowledge of HIPAA Privacy Rule, Security Rule, Breach Notification Rule, HITECH Act, and OCR enforcement guidance. Provides control mappings, risk assessment frameworks, and regulatory interpretation.</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45 CFR Parts 160/162/164; OCR enforcement actions database; HHS guidance documents; NIST SP 800-66r2 (HIPAA Security Rule implementation guide); OCR audit protocol; state-level health data privacy laws (where applicable).</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All outputs must cite specific CFR sections. Never present interpretations as regulatory mandates. Flag when state law may be more restrictive. Require human review for breach determination recommendations. Always note effective dates of rule changes.</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CVG-HIPAA (primary), Compliance Checker agent, Risk Scorer agent, Meridian (healthcare M&amp;A targets), Caelum (healthcare SoW compliance validation), Ducky (healthcare research queries).</w:t>
      </w:r>
    </w:p>
    <w:p>
      <w:pPr>
        <w:spacing w:after="60"/>
      </w:pPr>
    </w:p>
    <w:p>
      <w:pPr>
        <w:pStyle w:val="Heading2"/>
        <w:spacing w:before="280" w:after="160"/>
      </w:pPr>
      <w:r>
        <w:rPr>
          <w:rFonts w:ascii="Arial" w:cs="Arial" w:eastAsia="Arial" w:hAnsi="Arial"/>
          <w:b/>
          <w:bCs/>
          <w:color w:val="1A1A1A"/>
          <w:sz w:val="28"/>
          <w:szCs w:val="28"/>
        </w:rPr>
        <w:t xml:space="preserve">3.2 PCI-DSS Compliance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pci-dss</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Payment Card Industry Data Security Standard expertise. SAQ selection guidance, control requirement mapping, scope reduction strategies, compensating controls, and QSA/ISA assessment support.</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PCI DSS v4.0.1 (effective March 2025); PCI SSC Information Supplements; PA-DSS/Software Security Framework; P2PE standard; Card brand-specific compliance programs (Visa, MC, Amex, Discover).</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differentiate between v3.2.1 legacy and v4.0.1 current requirements. Never approve scope reduction without documented justification. Flag future-dated requirements (March 2025 mandatory items). All SAQ recommendations must include qualifying criteria validation.</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Compliance Checker, Risk Scorer, Meridian (retail/e-commerce M&amp;A), Caelum (payment-handling SoW validation), Ducky (payment security research).</w:t>
      </w:r>
    </w:p>
    <w:p>
      <w:pPr>
        <w:spacing w:after="60"/>
      </w:pPr>
    </w:p>
    <w:p>
      <w:pPr>
        <w:pStyle w:val="Heading2"/>
        <w:spacing w:before="280" w:after="160"/>
      </w:pPr>
      <w:r>
        <w:rPr>
          <w:rFonts w:ascii="Arial" w:cs="Arial" w:eastAsia="Arial" w:hAnsi="Arial"/>
          <w:b/>
          <w:bCs/>
          <w:color w:val="1A1A1A"/>
          <w:sz w:val="28"/>
          <w:szCs w:val="28"/>
        </w:rPr>
        <w:t xml:space="preserve">3.3 HITRUST CSF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hitrust</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HITRUST Common Security Framework expertise. Assessment type guidance (e1, i1, r2), control selection, maturity scoring, cross-mapping to other frameworks (HIPAA, NIST, ISO 27001, SOC 2), and certification readiness evaluation.</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HITRUST CSF v11.x; HITRUST Assurance Program requirements; HITRUST MyCSF assessment methodology; HITRUST threat-adaptive assessment guidance; HITRUST-to-HIPAA crosswalk; HITRUST inheritance program documentation.</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specify CSF version in all outputs. Never conflate e1/i1/r2 assessment scopes. HITRUST certification claims require assessor validation — agent can only assess readiness, not certify. Cross-framework mappings must note where HITRUST extends beyond the mapped standard.</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Compliance Checker, CVG-HIPAA, Risk Scorer, Meridian (healthcare/fintech M&amp;A), Ducky.</w:t>
      </w:r>
    </w:p>
    <w:p>
      <w:pPr>
        <w:spacing w:after="60"/>
      </w:pPr>
    </w:p>
    <w:p>
      <w:pPr>
        <w:pStyle w:val="Heading2"/>
        <w:spacing w:before="280" w:after="160"/>
      </w:pPr>
      <w:r>
        <w:rPr>
          <w:rFonts w:ascii="Arial" w:cs="Arial" w:eastAsia="Arial" w:hAnsi="Arial"/>
          <w:b/>
          <w:bCs/>
          <w:color w:val="1A1A1A"/>
          <w:sz w:val="28"/>
          <w:szCs w:val="28"/>
        </w:rPr>
        <w:t xml:space="preserve">3.4 SOC 2 / AICPA TSC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soc2</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SOC 2 Trust Services Criteria expertise (Security, Availability, Processing Integrity, Confidentiality, Privacy). Type I vs Type II assessment guidance, control design and operating effectiveness, and service organization control mapping.</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AICPA TSC 2017 (with 2022 revisions); SOC 2 reporting guide; AICPA SOC for Cybersecurity framework; SSAE 18 (AT-C 205/305); common criteria mapping to NIST CSF, ISO 27001, HITRUST.</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distinguish Type I (design) vs Type II (operating effectiveness). Never present control suggestions as sufficient for attestation without auditor review. Always reference specific TSC point-of-focus areas. SOC 2 reports are restricted-use — agent must never reproduce report content.</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CVG-CORE (primary), Compliance Checker, Risk Scorer, Meridian (SaaS/tech M&amp;A), Ducky.</w:t>
      </w:r>
    </w:p>
    <w:p>
      <w:pPr>
        <w:spacing w:after="60"/>
      </w:pPr>
    </w:p>
    <w:p>
      <w:pPr>
        <w:pStyle w:val="Heading2"/>
        <w:spacing w:before="280" w:after="160"/>
      </w:pPr>
      <w:r>
        <w:rPr>
          <w:rFonts w:ascii="Arial" w:cs="Arial" w:eastAsia="Arial" w:hAnsi="Arial"/>
          <w:b/>
          <w:bCs/>
          <w:color w:val="1A1A1A"/>
          <w:sz w:val="28"/>
          <w:szCs w:val="28"/>
        </w:rPr>
        <w:t xml:space="preserve">3.5 CMS / Medicare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cms-medicare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Centers for Medicare &amp; Medicaid Services regulatory expertise. Medicare Conditions of Participation (CoPs), PDGM home health, ASC coverage determinations, fee schedule interpretation, LCD/NCD lookup, billing/coding guidance, and Conditions for Coverage.</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CMS.gov Manuals (Pub 100 series); Medicare Benefit Policy Manual; Medicare Claims Processing Manual; PDGM grouper logic and case-mix weights; ASC Covered Procedures List (CPL); OPPS/ASC fee schedules; LCD/NCD databases; CMS MLN publications; State Operations Manual (SOM) for survey/certification.</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All outputs must cite specific CMS manual sections or regulatory references. §20.3 disclaimer required on any utilization-related output. Operational recommendations must never be presented as Medicare mandates. Fee schedule data must include effective date and locality. Flag MAC jurisdictional variations.</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CVG-CERES (primary), Compliance Checker, Ducky (healthcare research), Meridian (healthcare M&amp;A CoP assessment).</w:t>
      </w:r>
    </w:p>
    <w:p>
      <w:pPr>
        <w:spacing w:after="60"/>
      </w:pPr>
    </w:p>
    <w:p>
      <w:pPr>
        <w:pStyle w:val="Heading2"/>
        <w:spacing w:before="280" w:after="160"/>
      </w:pPr>
      <w:r>
        <w:rPr>
          <w:rFonts w:ascii="Arial" w:cs="Arial" w:eastAsia="Arial" w:hAnsi="Arial"/>
          <w:b/>
          <w:bCs/>
          <w:color w:val="1A1A1A"/>
          <w:sz w:val="28"/>
          <w:szCs w:val="28"/>
        </w:rPr>
        <w:t xml:space="preserve">3.6 Finance &amp; Accounting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finance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Financial analysis, accounting standards, valuation methodologies, M&amp;A financial due diligence, ROI/TCO modeling, and budget/forecast frameworks. Covers GAAP, IFRS, and common SaaS/MSP financial metrics.</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US GAAP (ASC codification); IFRS standards; AICPA audit guides; SaaS metrics frameworks (SaaS Capital, KeyBanc); MSP financial benchmarks (Service Leadership, ConnectWise); M&amp;A valuation methodologies (DCF, comparable transactions, precedent transactions); SEC EDGAR filing standards.</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disclaim that outputs are not financial advice and do not constitute tax, legal, or investment counsel. Valuation estimates must always include methodology, assumptions, and sensitivity ranges. GAAP vs IFRS treatment must be specified when differences exist. Revenue recognition guidance must cite ASC 606 or IFRS 15 specifically.</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Cost Analyzer (primary), CVG-MIDAS, Meridian (M&amp;A financial DD), Caelum (SoW pricing), Ducky.</w:t>
      </w:r>
    </w:p>
    <w:p>
      <w:pPr>
        <w:spacing w:after="60"/>
      </w:pPr>
    </w:p>
    <w:p>
      <w:pPr>
        <w:pStyle w:val="Heading2"/>
        <w:spacing w:before="280" w:after="160"/>
      </w:pPr>
      <w:r>
        <w:rPr>
          <w:rFonts w:ascii="Arial" w:cs="Arial" w:eastAsia="Arial" w:hAnsi="Arial"/>
          <w:b/>
          <w:bCs/>
          <w:color w:val="1A1A1A"/>
          <w:sz w:val="28"/>
          <w:szCs w:val="28"/>
        </w:rPr>
        <w:t xml:space="preserve">3.7 FinTech &amp; Payments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fintech</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Financial technology domain expertise spanning payment processing, banking-as-a-service, lending platforms, digital wallets, cryptocurrency/blockchain, open banking (PSD2/FDX), and embedded finance. Cross-references PCI-DSS and SOC 2 domain agents for compliance overlaps.</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CFPB regulations; OCC/FDIC fintech guidance; FinCEN BSA/AML requirements; state money transmitter licensing (NMLS); PSD2/open banking standards; FDX (Financial Data Exchange) specifications; Nacha ACH rules; card network operating regulations.</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flag jurisdictional licensing requirements. Never provide specific compliance sign-off — flag for legal/compliance review. Cross-reference PCI-DSS agent for cardholder data handling. Flag BSA/AML obligations for any transaction monitoring outputs. Distinguish between banking charter and non-bank fintech regulatory treatment.</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Risk Scorer, Compliance Checker, Meridian (fintech M&amp;A), Ducky, CVG-MIDAS (fintech client QBRs).</w:t>
      </w:r>
    </w:p>
    <w:p>
      <w:pPr>
        <w:spacing w:after="60"/>
      </w:pPr>
    </w:p>
    <w:p>
      <w:pPr>
        <w:pStyle w:val="Heading2"/>
        <w:spacing w:before="280" w:after="160"/>
      </w:pPr>
      <w:r>
        <w:rPr>
          <w:rFonts w:ascii="Arial" w:cs="Arial" w:eastAsia="Arial" w:hAnsi="Arial"/>
          <w:b/>
          <w:bCs/>
          <w:color w:val="1A1A1A"/>
          <w:sz w:val="28"/>
          <w:szCs w:val="28"/>
        </w:rPr>
        <w:t xml:space="preserve">3.8 Legal &amp; Contracts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legal</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Contract analysis, MSA/SoW clause interpretation, IP ownership, licensing, liability frameworks, data processing agreements (DPAs), BAAs, NDA structures, and general business law concepts. Does NOT provide legal advice — provides structured legal information for human attorney review.</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UCC (Uniform Commercial Code); common contract clause libraries; M&amp;A legal frameworks (asset vs stock purchase); IP assignment and licensing models; standard DPA/BAA templates and GDPR Article 28 requirements; employment law basics (at-will, non-compete, IP assignment); SLA/SoW best practice clause libraries.</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prominently disclaim: not legal advice, consult qualified attorney. Never provide jurisdiction-specific legal conclusions without flagging jurisdictional variation. Contract interpretation outputs must note ambiguity where present. Liability cap recommendations must always note that enforceability varies by jurisdiction. Flag any output involving regulated industries (healthcare, finance) for domain-specific agent cross-reference.</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Document Analysis, Meridian (M&amp;A contract review), Caelum (SoW legal validation), Ducky, all apps for DPA/BAA generation.</w:t>
      </w:r>
    </w:p>
    <w:p>
      <w:pPr>
        <w:spacing w:after="60"/>
      </w:pPr>
    </w:p>
    <w:p>
      <w:pPr>
        <w:pStyle w:val="Heading2"/>
        <w:spacing w:before="280" w:after="160"/>
      </w:pPr>
      <w:r>
        <w:rPr>
          <w:rFonts w:ascii="Arial" w:cs="Arial" w:eastAsia="Arial" w:hAnsi="Arial"/>
          <w:b/>
          <w:bCs/>
          <w:color w:val="1A1A1A"/>
          <w:sz w:val="28"/>
          <w:szCs w:val="28"/>
        </w:rPr>
        <w:t xml:space="preserve">3.9 Technology &amp; Infrastructure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tech-infra</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Deep IT infrastructure expertise: networking (Cisco Meraki, Fortinet, Ubiquiti), cloud platforms (Azure, AWS, GCP), identity/MDM (Entra ID, Intune, Jamf), M365/Google Workspace, virtualization (VMware, Hyper-V, AVD), backup/DR, and MSP toolchain knowledge (RMM, PSA, documentation platforms).</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Vendor documentation libraries (Cisco, Microsoft, AWS, Google); NIST SP 800-53/CSF; CIS Benchmarks; MSP operational frameworks (ITIL, CompTIA managed services); hardware lifecycle databases; cloud pricing calculators and TCO models; vendor EOL/EOS databases.</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cite vendor documentation version/date for configuration guidance. Flag EOL/EOS hardware and software. Infrastructure recommendations must include HA/DR considerations. Cloud cost estimates must include egress, storage tiers, and reserved instance options. Never recommend single points of failure without explicit risk acknowledgment.</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Caelum (primary — SoW infrastructure specs), Meridian (IT DD assessment), CVG-VESPAR (migration planning), CVG-ASTRA (license/asset management), Midas (QBR infrastructure scoring), Ducky.</w:t>
      </w:r>
    </w:p>
    <w:p>
      <w:pPr>
        <w:spacing w:after="60"/>
      </w:pPr>
    </w:p>
    <w:p>
      <w:pPr>
        <w:pStyle w:val="Heading2"/>
        <w:spacing w:before="280" w:after="160"/>
      </w:pPr>
      <w:r>
        <w:rPr>
          <w:rFonts w:ascii="Arial" w:cs="Arial" w:eastAsia="Arial" w:hAnsi="Arial"/>
          <w:b/>
          <w:bCs/>
          <w:color w:val="1A1A1A"/>
          <w:sz w:val="28"/>
          <w:szCs w:val="28"/>
        </w:rPr>
        <w:t xml:space="preserve">3.10 Language &amp; NLP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language</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Cross-lingual support, translation, localization, tone/register adaptation, plain-language rewriting, and terminology standardization. Ensures all Cavaridge platform outputs can be adapted for audience, reading level, and language requirements.</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ISO 639 language codes; Flesch-Kincaid and SMOG readability frameworks; industry-specific terminology glossaries (healthcare, legal, finance, IT); plain language guidelines (Federal Plain Language Guidelines, EU plain language standards); localization best practices (CLDR, Unicode CLDR).</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preserve regulatory/legal precision when simplifying language — never sacrifice accuracy for readability in compliance contexts. Translation outputs must flag terms with no direct equivalent. Medical/legal terminology must not be simplified below the threshold required for professional accuracy. Always note source and target language versions.</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Report Generator (all apps), Ducky (multilingual research), Caelum (SoW audience adaptation), any app needing localized output.</w:t>
      </w:r>
    </w:p>
    <w:p>
      <w:pPr>
        <w:spacing w:after="60"/>
      </w:pPr>
    </w:p>
    <w:p>
      <w:pPr>
        <w:pStyle w:val="Heading2"/>
        <w:spacing w:before="280" w:after="160"/>
      </w:pPr>
      <w:r>
        <w:rPr>
          <w:rFonts w:ascii="Arial" w:cs="Arial" w:eastAsia="Arial" w:hAnsi="Arial"/>
          <w:b/>
          <w:bCs/>
          <w:color w:val="1A1A1A"/>
          <w:sz w:val="28"/>
          <w:szCs w:val="28"/>
        </w:rPr>
        <w:t xml:space="preserve">3.11 Cybersecurity Frameworks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cybersecurity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NIST Cybersecurity Framework (CSF 2.0), NIST 800-53, NIST 800-171/CMMC, ISO 27001/27002, CIS Controls v8, and general cybersecurity risk management. Provides control mapping, gap analysis support, and framework crosswalking.</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NIST CSF 2.0; NIST SP 800-53 Rev 5; NIST SP 800-171 Rev 3; CMMC 2.0 Level 1-3 requirements; ISO 27001:2022 / ISO 27002:2022; CIS Controls v8 (IG1/IG2/IG3); MITRE ATT&amp;CK framework; CISA advisories and KEV catalog; framework crosswalk matrices (NIST↔HIPAA↔SOC2↔ISO↔CIS).</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specify framework version in all outputs. CMMC level claims require formal assessment — agent provides readiness assessment only. Cross-framework mappings must note where controls are not fully equivalent. Threat intelligence must include date and confidence level. Never present vulnerability remediation as optional when CISA KEV-listed.</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CVG-CORE (primary), CVG-HIPAA, Compliance Checker, Risk Scorer, Meridian, CVG-AEGIS, Ducky.</w:t>
      </w:r>
    </w:p>
    <w:p>
      <w:pPr>
        <w:spacing w:after="60"/>
      </w:pPr>
    </w:p>
    <w:p>
      <w:pPr>
        <w:pStyle w:val="Heading2"/>
        <w:spacing w:before="280" w:after="160"/>
      </w:pPr>
      <w:r>
        <w:rPr>
          <w:rFonts w:ascii="Arial" w:cs="Arial" w:eastAsia="Arial" w:hAnsi="Arial"/>
          <w:b/>
          <w:bCs/>
          <w:color w:val="1A1A1A"/>
          <w:sz w:val="28"/>
          <w:szCs w:val="28"/>
        </w:rPr>
        <w:t xml:space="preserve">3.12 Data Privacy &amp; GDPR Agent</w:t>
      </w:r>
    </w:p>
    <w:p>
      <w:pPr>
        <w:spacing w:after="120"/>
      </w:pPr>
      <w:r>
        <w:rPr>
          <w:rFonts w:ascii="Arial" w:cs="Arial" w:eastAsia="Arial" w:hAnsi="Arial"/>
          <w:b/>
          <w:bCs/>
          <w:sz w:val="22"/>
          <w:szCs w:val="22"/>
        </w:rPr>
        <w:t xml:space="preserve">Domain ID: </w:t>
      </w:r>
      <w:r>
        <w:rPr>
          <w:rFonts w:ascii="Arial" w:cs="Arial" w:eastAsia="Arial" w:hAnsi="Arial"/>
          <w:sz w:val="22"/>
          <w:szCs w:val="22"/>
        </w:rPr>
        <w:t xml:space="preserve">data-privacy</w:t>
      </w:r>
    </w:p>
    <w:p>
      <w:pPr>
        <w:spacing w:after="120"/>
      </w:pPr>
      <w:r>
        <w:rPr>
          <w:rFonts w:ascii="Arial" w:cs="Arial" w:eastAsia="Arial" w:hAnsi="Arial"/>
          <w:b/>
          <w:bCs/>
          <w:sz w:val="22"/>
          <w:szCs w:val="22"/>
        </w:rPr>
        <w:t xml:space="preserve">Purpose: </w:t>
      </w:r>
      <w:r>
        <w:rPr>
          <w:rFonts w:ascii="Arial" w:cs="Arial" w:eastAsia="Arial" w:hAnsi="Arial"/>
          <w:sz w:val="22"/>
          <w:szCs w:val="22"/>
        </w:rPr>
        <w:t xml:space="preserve">Global data privacy regulatory expertise: GDPR, CCPA/CPRA, state-level US privacy laws, international data transfer mechanisms (SCCs, adequacy decisions), DPIA/PIA methodologies, data subject rights management, and privacy-by-design frameworks.</w:t>
      </w:r>
    </w:p>
    <w:p>
      <w:pPr>
        <w:spacing w:after="120"/>
      </w:pPr>
      <w:r>
        <w:rPr>
          <w:rFonts w:ascii="Arial" w:cs="Arial" w:eastAsia="Arial" w:hAnsi="Arial"/>
          <w:b/>
          <w:bCs/>
          <w:sz w:val="22"/>
          <w:szCs w:val="22"/>
        </w:rPr>
        <w:t xml:space="preserve">Knowledge Sources: </w:t>
      </w:r>
      <w:r>
        <w:rPr>
          <w:rFonts w:ascii="Arial" w:cs="Arial" w:eastAsia="Arial" w:hAnsi="Arial"/>
          <w:sz w:val="22"/>
          <w:szCs w:val="22"/>
        </w:rPr>
        <w:t xml:space="preserve">GDPR text and recitals; EDPB guidelines and opinions; CCPA/CPRA regulations and AG guidance; state privacy laws (Virginia CDPA, Colorado CPA, Connecticut CTDPA, Texas TDPSA, etc.); EU-US Data Privacy Framework; APEC CBPR; IAPP resources; ISO 27701.</w:t>
      </w:r>
    </w:p>
    <w:p>
      <w:pPr>
        <w:spacing w:after="120"/>
      </w:pPr>
      <w:r>
        <w:rPr>
          <w:rFonts w:ascii="Arial" w:cs="Arial" w:eastAsia="Arial" w:hAnsi="Arial"/>
          <w:b/>
          <w:bCs/>
          <w:sz w:val="22"/>
          <w:szCs w:val="22"/>
        </w:rPr>
        <w:t xml:space="preserve">Guardrails: </w:t>
      </w:r>
      <w:r>
        <w:rPr>
          <w:rFonts w:ascii="Arial" w:cs="Arial" w:eastAsia="Arial" w:hAnsi="Arial"/>
          <w:sz w:val="22"/>
          <w:szCs w:val="22"/>
        </w:rPr>
        <w:t xml:space="preserve">Must specify applicable jurisdiction(s) for every output. Flag multi-jurisdictional conflicts (e.g., GDPR right to erasure vs US litigation hold). DPIA outputs must follow Article 35 structure. Never present consent as the default lawful basis without analyzing alternatives. Cross-reference HIPAA agent when health data is involved (HIPAA vs GDPR overlap).</w:t>
      </w:r>
    </w:p>
    <w:p>
      <w:pPr>
        <w:spacing w:after="120"/>
      </w:pPr>
      <w:r>
        <w:rPr>
          <w:rFonts w:ascii="Arial" w:cs="Arial" w:eastAsia="Arial" w:hAnsi="Arial"/>
          <w:b/>
          <w:bCs/>
          <w:sz w:val="22"/>
          <w:szCs w:val="22"/>
        </w:rPr>
        <w:t xml:space="preserve">Consumers: </w:t>
      </w:r>
      <w:r>
        <w:rPr>
          <w:rFonts w:ascii="Arial" w:cs="Arial" w:eastAsia="Arial" w:hAnsi="Arial"/>
          <w:sz w:val="22"/>
          <w:szCs w:val="22"/>
        </w:rPr>
        <w:t xml:space="preserve">Compliance Checker, CVG-HIPAA (HIPAA/GDPR overlap), Meridian (international M&amp;A), Ducky, all apps for DPA generation.</w:t>
      </w:r>
    </w:p>
    <w:p>
      <w:r>
        <w:br w:type="page"/>
      </w:r>
    </w:p>
    <w:p>
      <w:pPr>
        <w:pStyle w:val="Heading1"/>
        <w:spacing w:before="360" w:after="200"/>
      </w:pPr>
      <w:r>
        <w:rPr>
          <w:rFonts w:ascii="Arial" w:cs="Arial" w:eastAsia="Arial" w:hAnsi="Arial"/>
          <w:b/>
          <w:bCs/>
          <w:color w:val="2E5090"/>
          <w:sz w:val="32"/>
          <w:szCs w:val="32"/>
        </w:rPr>
        <w:t xml:space="preserve">4. Domain Agent Standard Interface</w:t>
      </w:r>
    </w:p>
    <w:p>
      <w:pPr>
        <w:spacing w:after="120"/>
      </w:pPr>
      <w:r>
        <w:rPr>
          <w:rFonts w:ascii="Arial" w:cs="Arial" w:eastAsia="Arial" w:hAnsi="Arial"/>
          <w:sz w:val="22"/>
          <w:szCs w:val="22"/>
        </w:rPr>
        <w:t xml:space="preserve">All domain agents implement a common interface in @cavaridge/agent-core. This ensures any consuming agent can query any domain agent without knowing its internal implementation.</w:t>
      </w:r>
    </w:p>
    <w:p>
      <w:pPr>
        <w:spacing w:after="60"/>
      </w:pPr>
    </w:p>
    <w:p>
      <w:pPr>
        <w:pStyle w:val="Heading2"/>
        <w:spacing w:before="280" w:after="160"/>
      </w:pPr>
      <w:r>
        <w:rPr>
          <w:rFonts w:ascii="Arial" w:cs="Arial" w:eastAsia="Arial" w:hAnsi="Arial"/>
          <w:b/>
          <w:bCs/>
          <w:color w:val="1A1A1A"/>
          <w:sz w:val="28"/>
          <w:szCs w:val="28"/>
        </w:rPr>
        <w:t xml:space="preserve">4.1 Query Interface</w:t>
      </w:r>
    </w:p>
    <w:p>
      <w:pPr>
        <w:spacing w:after="120"/>
      </w:pPr>
      <w:r>
        <w:rPr>
          <w:rFonts w:ascii="Arial" w:cs="Arial" w:eastAsia="Arial" w:hAnsi="Arial"/>
          <w:sz w:val="22"/>
          <w:szCs w:val="22"/>
        </w:rPr>
        <w:t xml:space="preserve">Every domain agent accepts a DomainQuery with: domain (string identifier), query (natural language or structured), context (optional — the calling agent passes relevant context), response_format (structured | narrative | citation-list), and confidence_threshold (minimum confidence score to include in response, default 0.7).</w:t>
      </w:r>
    </w:p>
    <w:p>
      <w:pPr>
        <w:spacing w:after="60"/>
      </w:pPr>
    </w:p>
    <w:p>
      <w:pPr>
        <w:pStyle w:val="Heading2"/>
        <w:spacing w:before="280" w:after="160"/>
      </w:pPr>
      <w:r>
        <w:rPr>
          <w:rFonts w:ascii="Arial" w:cs="Arial" w:eastAsia="Arial" w:hAnsi="Arial"/>
          <w:b/>
          <w:bCs/>
          <w:color w:val="1A1A1A"/>
          <w:sz w:val="28"/>
          <w:szCs w:val="28"/>
        </w:rPr>
        <w:t xml:space="preserve">4.2 Response Interface</w:t>
      </w:r>
    </w:p>
    <w:p>
      <w:pPr>
        <w:spacing w:after="120"/>
      </w:pPr>
      <w:r>
        <w:rPr>
          <w:rFonts w:ascii="Arial" w:cs="Arial" w:eastAsia="Arial" w:hAnsi="Arial"/>
          <w:sz w:val="22"/>
          <w:szCs w:val="22"/>
        </w:rPr>
        <w:t xml:space="preserve">Every domain agent returns a DomainResponse with: domain, findings (array of structured knowledge items), citations (array with source, section, url, accessed_date), confidence_score (0.0-1.0), regulatory_version (the version of the standard/framework the response is based on), guardrail_flags (array of warnings, disclaimers, or cross-reference recommendations), and requires_human_review (boolean).</w:t>
      </w:r>
    </w:p>
    <w:p>
      <w:pPr>
        <w:spacing w:after="60"/>
      </w:pPr>
    </w:p>
    <w:p>
      <w:pPr>
        <w:pStyle w:val="Heading2"/>
        <w:spacing w:before="280" w:after="160"/>
      </w:pPr>
      <w:r>
        <w:rPr>
          <w:rFonts w:ascii="Arial" w:cs="Arial" w:eastAsia="Arial" w:hAnsi="Arial"/>
          <w:b/>
          <w:bCs/>
          <w:color w:val="1A1A1A"/>
          <w:sz w:val="28"/>
          <w:szCs w:val="28"/>
        </w:rPr>
        <w:t xml:space="preserve">4.3 Knowledge Base Management</w:t>
      </w:r>
    </w:p>
    <w:p>
      <w:pPr>
        <w:spacing w:after="120"/>
      </w:pPr>
      <w:r>
        <w:rPr>
          <w:rFonts w:ascii="Arial" w:cs="Arial" w:eastAsia="Arial" w:hAnsi="Arial"/>
          <w:sz w:val="22"/>
          <w:szCs w:val="22"/>
        </w:rPr>
        <w:t xml:space="preserve">Each domain agent maintains a curated vector store in pgvector (Supabase) with domain-specific embeddings. Knowledge bases are versioned independently — when a regulation updates (e.g., PCI DSS v4.0.1 → v5.0), the domain agent’s knowledge base is updated and re-indexed without affecting other agents. A scheduled pipeline checks source authorities for updates (CMS.gov, NIST, PCI SSC, etc.) and flags stale knowledge for re-ingestion.</w:t>
      </w:r>
    </w:p>
    <w:p>
      <w:r>
        <w:br w:type="page"/>
      </w:r>
    </w:p>
    <w:p>
      <w:pPr>
        <w:pStyle w:val="Heading1"/>
        <w:spacing w:before="360" w:after="200"/>
      </w:pPr>
      <w:r>
        <w:rPr>
          <w:rFonts w:ascii="Arial" w:cs="Arial" w:eastAsia="Arial" w:hAnsi="Arial"/>
          <w:b/>
          <w:bCs/>
          <w:color w:val="2E5090"/>
          <w:sz w:val="32"/>
          <w:szCs w:val="32"/>
        </w:rPr>
        <w:t xml:space="preserve">5. Domain Agent Summary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2200"/>
        <w:gridCol w:w="1960"/>
      </w:tblGrid>
      <w:tr>
        <w:tc>
          <w:tcPr>
            <w:tcW w:type="dxa" w:w="15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17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 ID</w:t>
            </w:r>
          </w:p>
        </w:tc>
        <w:tc>
          <w:tcPr>
            <w:tcW w:type="dxa" w:w="2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Consumers</w:t>
            </w:r>
          </w:p>
        </w:tc>
        <w:tc>
          <w:tcPr>
            <w:tcW w:type="dxa" w:w="22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Guardrails</w:t>
            </w:r>
          </w:p>
        </w:tc>
        <w:tc>
          <w:tcPr>
            <w:tcW w:type="dxa" w:w="19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Regulatory Cadence</w:t>
            </w:r>
          </w:p>
        </w:tc>
      </w:tr>
      <w:tr>
        <w:tc>
          <w:tcPr>
            <w:tcW w:type="dxa" w:w="1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HIPAA</w:t>
            </w:r>
          </w:p>
        </w:tc>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hipaa</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CVG-HIPAA, CERES, Meridian</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CFR citations required; no mandates</w:t>
            </w:r>
          </w:p>
        </w:tc>
        <w:tc>
          <w:tcPr>
            <w:tcW w:type="dxa" w:w="1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Annual OCR updates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PCI-DSS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pci-dss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CORE, Meridian, Caelum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Version-specific; SAQ validation</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Major release ~3yr</w:t>
            </w:r>
          </w:p>
        </w:tc>
      </w:tr>
      <w:tr>
        <w:tc>
          <w:tcPr>
            <w:tcW w:type="dxa" w:w="1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HITRUST</w:t>
            </w:r>
          </w:p>
        </w:tc>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hitrust</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CVG-HIPAA, CORE, Meridian</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CSF version required; readiness only</w:t>
            </w:r>
          </w:p>
        </w:tc>
        <w:tc>
          <w:tcPr>
            <w:tcW w:type="dxa" w:w="1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Annual CSF updates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SOC 2</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soc2</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CVG-CORE, Meridian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Type I/II distinction; no attestation</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TSC revisions periodic</w:t>
            </w:r>
          </w:p>
        </w:tc>
      </w:tr>
      <w:tr>
        <w:tc>
          <w:tcPr>
            <w:tcW w:type="dxa" w:w="1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CMS/Medicare</w:t>
            </w:r>
          </w:p>
        </w:tc>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cms-medicare</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CERES, Meridian, Ducky</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§20.3 disclaimer; locality-specific</w:t>
            </w:r>
          </w:p>
        </w:tc>
        <w:tc>
          <w:tcPr>
            <w:tcW w:type="dxa" w:w="1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Quarterly fee schedules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Finance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finance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Cost Analyzer, MIDAS, Meridian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Not financial advice; assumptions noted</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ASC/IFRS ongoing</w:t>
            </w:r>
          </w:p>
        </w:tc>
      </w:tr>
      <w:tr>
        <w:tc>
          <w:tcPr>
            <w:tcW w:type="dxa" w:w="1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FinTech</w:t>
            </w:r>
          </w:p>
        </w:tc>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fintech</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Risk Scorer, Meridian, Ducky</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Jurisdictional licensing; AML flags</w:t>
            </w:r>
          </w:p>
        </w:tc>
        <w:tc>
          <w:tcPr>
            <w:tcW w:type="dxa" w:w="1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Regulatory ongoing</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Legal</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legal</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DocAnalysis, Meridian, Caelum</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Not legal advice; jurisdiction flagged</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Statutory changes</w:t>
            </w:r>
          </w:p>
        </w:tc>
      </w:tr>
      <w:tr>
        <w:tc>
          <w:tcPr>
            <w:tcW w:type="dxa" w:w="1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Tech/Infra</w:t>
            </w:r>
          </w:p>
        </w:tc>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tech-infra</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Caelum, Meridian, VESPAR</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Vendor doc versions; EOL/EOS flagged</w:t>
            </w:r>
          </w:p>
        </w:tc>
        <w:tc>
          <w:tcPr>
            <w:tcW w:type="dxa" w:w="1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Vendor release cycles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Language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language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Report Gen, Ducky, all apps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Preserve precision in compliance</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Standards-based</w:t>
            </w:r>
          </w:p>
        </w:tc>
      </w:tr>
      <w:tr>
        <w:tc>
          <w:tcPr>
            <w:tcW w:type="dxa" w:w="15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Cybersecurity</w:t>
            </w:r>
          </w:p>
        </w:tc>
        <w:tc>
          <w:tcPr>
            <w:tcW w:type="dxa" w:w="17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cybersecurity</w:t>
            </w:r>
          </w:p>
        </w:tc>
        <w:tc>
          <w:tcPr>
            <w:tcW w:type="dxa" w:w="2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CORE, HIPAA, AEGIS, Meridian</w:t>
            </w:r>
          </w:p>
        </w:tc>
        <w:tc>
          <w:tcPr>
            <w:tcW w:type="dxa" w:w="22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Framework version; readiness only</w:t>
            </w:r>
          </w:p>
        </w:tc>
        <w:tc>
          <w:tcPr>
            <w:tcW w:type="dxa" w:w="19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NIST/CIS update cycles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Data Privacy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data-privacy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Compliance, HIPAA, Meridian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Jurisdiction-specific; DPIA Art.35</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Legislative ongoing</w:t>
            </w:r>
          </w:p>
        </w:tc>
      </w:tr>
    </w:tbl>
    <w:p>
      <w:r>
        <w:br w:type="page"/>
      </w:r>
    </w:p>
    <w:p>
      <w:pPr>
        <w:pStyle w:val="Heading1"/>
        <w:spacing w:before="360" w:after="200"/>
      </w:pPr>
      <w:r>
        <w:rPr>
          <w:rFonts w:ascii="Arial" w:cs="Arial" w:eastAsia="Arial" w:hAnsi="Arial"/>
          <w:b/>
          <w:bCs/>
          <w:color w:val="2E5090"/>
          <w:sz w:val="32"/>
          <w:szCs w:val="32"/>
        </w:rPr>
        <w:t xml:space="preserve">6. Universal Connector Framework</w:t>
      </w:r>
    </w:p>
    <w:p>
      <w:pPr>
        <w:spacing w:after="120"/>
      </w:pPr>
      <w:r>
        <w:rPr>
          <w:rFonts w:ascii="Arial" w:cs="Arial" w:eastAsia="Arial" w:hAnsi="Arial"/>
          <w:sz w:val="22"/>
          <w:szCs w:val="22"/>
        </w:rPr>
        <w:t xml:space="preserve">The initial architecture specified 10 connectors. This addendum expands to 25 connectors covering MSP, healthcare, finance, CRM, and developer verticals, and introduces a connector marketplace framework for tenant-requested integrations.</w:t>
      </w:r>
    </w:p>
    <w:p>
      <w:pPr>
        <w:spacing w:after="60"/>
      </w:pPr>
    </w:p>
    <w:p>
      <w:pPr>
        <w:pStyle w:val="Heading2"/>
        <w:spacing w:before="280" w:after="160"/>
      </w:pPr>
      <w:r>
        <w:rPr>
          <w:rFonts w:ascii="Arial" w:cs="Arial" w:eastAsia="Arial" w:hAnsi="Arial"/>
          <w:b/>
          <w:bCs/>
          <w:color w:val="1A1A1A"/>
          <w:sz w:val="28"/>
          <w:szCs w:val="28"/>
        </w:rPr>
        <w:t xml:space="preserve">6.1 Expanded Connector Registry (25 Connectors)</w:t>
      </w:r>
    </w:p>
    <w:p>
      <w:pPr>
        <w:spacing w:after="60"/>
      </w:pPr>
    </w:p>
    <w:p>
      <w:pPr>
        <w:spacing w:before="200" w:after="120"/>
      </w:pPr>
      <w:r>
        <w:rPr>
          <w:rFonts w:ascii="Arial" w:cs="Arial" w:eastAsia="Arial" w:hAnsi="Arial"/>
          <w:b/>
          <w:bCs/>
          <w:color w:val="1A1A1A"/>
          <w:sz w:val="24"/>
          <w:szCs w:val="24"/>
        </w:rPr>
        <w:t xml:space="preserve">Developer &amp; DevOps (Original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3060"/>
        <w:gridCol w:w="2600"/>
      </w:tblGrid>
      <w:t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Connector</w:t>
            </w:r>
          </w:p>
        </w:tc>
        <w:tc>
          <w:tcPr>
            <w:tcW w:type="dxa" w:w="1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1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30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Types</w:t>
            </w:r>
          </w:p>
        </w:tc>
        <w:tc>
          <w:tcPr>
            <w:tcW w:type="dxa" w:w="2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GitHub</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 user</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repos, issues, PRs, code, commits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Developer</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GitLab</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 user</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projects, issues, MRs, code, pipelines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Developer</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Jira</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issues, boards, sprints, epics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DevOps/PM</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Slack</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messages, channels, threads, files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Communication</w:t>
            </w:r>
          </w:p>
        </w:tc>
      </w:tr>
    </w:tbl>
    <w:p>
      <w:pPr>
        <w:spacing w:after="60"/>
      </w:pPr>
    </w:p>
    <w:p>
      <w:pPr>
        <w:spacing w:before="200" w:after="120"/>
      </w:pPr>
      <w:r>
        <w:rPr>
          <w:rFonts w:ascii="Arial" w:cs="Arial" w:eastAsia="Arial" w:hAnsi="Arial"/>
          <w:b/>
          <w:bCs/>
          <w:color w:val="1A1A1A"/>
          <w:sz w:val="24"/>
          <w:szCs w:val="24"/>
        </w:rPr>
        <w:t xml:space="preserve">Business &amp; CRM (Original 3 + 4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3060"/>
        <w:gridCol w:w="2600"/>
      </w:tblGrid>
      <w:t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Connector</w:t>
            </w:r>
          </w:p>
        </w:tc>
        <w:tc>
          <w:tcPr>
            <w:tcW w:type="dxa" w:w="1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1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30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Types</w:t>
            </w:r>
          </w:p>
        </w:tc>
        <w:tc>
          <w:tcPr>
            <w:tcW w:type="dxa" w:w="2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Salesforce</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contacts, opportunities, accounts, reports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CRM</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HubSpot</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contacts, deals, companies, tickets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CRM/Marketing</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Stripe</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customers, invoices, subscriptions, payments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Payments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Zendesk</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tickets, users, orgs, knowledge base articles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Support/ITSM</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ServiceNow</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incidents, changes, CIs, knowledge, CMDB</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ITSM/Enterprise</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QuickBooks Online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invoices, expenses, P&amp;L, balance sheet, customers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Accounting</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NetSuite</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GL, AP/AR, inventory, projects, custom records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ERP</w:t>
            </w:r>
          </w:p>
        </w:tc>
      </w:tr>
    </w:tbl>
    <w:p>
      <w:pPr>
        <w:spacing w:after="60"/>
      </w:pPr>
    </w:p>
    <w:p>
      <w:pPr>
        <w:spacing w:before="200" w:after="120"/>
      </w:pPr>
      <w:r>
        <w:rPr>
          <w:rFonts w:ascii="Arial" w:cs="Arial" w:eastAsia="Arial" w:hAnsi="Arial"/>
          <w:b/>
          <w:bCs/>
          <w:color w:val="1A1A1A"/>
          <w:sz w:val="24"/>
          <w:szCs w:val="24"/>
        </w:rPr>
        <w:t xml:space="preserve">Productivity &amp; Collaboration (Original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3060"/>
        <w:gridCol w:w="2600"/>
      </w:tblGrid>
      <w:t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Connector</w:t>
            </w:r>
          </w:p>
        </w:tc>
        <w:tc>
          <w:tcPr>
            <w:tcW w:type="dxa" w:w="1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1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30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Types</w:t>
            </w:r>
          </w:p>
        </w:tc>
        <w:tc>
          <w:tcPr>
            <w:tcW w:type="dxa" w:w="2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Google Workspace</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 user</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Drive, Docs, Sheets, Calendar, Gmail</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Productivity</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Microsoft 365</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 user</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OneDrive, SharePoint, Outlook, Teams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Productivity</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Notion</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 user</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pages, databases, blocks, comments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Knowledge Mgmt</w:t>
            </w:r>
          </w:p>
        </w:tc>
      </w:tr>
    </w:tbl>
    <w:p>
      <w:pPr>
        <w:spacing w:after="60"/>
      </w:pPr>
    </w:p>
    <w:p>
      <w:pPr>
        <w:spacing w:before="200" w:after="120"/>
      </w:pPr>
      <w:r>
        <w:rPr>
          <w:rFonts w:ascii="Arial" w:cs="Arial" w:eastAsia="Arial" w:hAnsi="Arial"/>
          <w:b/>
          <w:bCs/>
          <w:color w:val="1A1A1A"/>
          <w:sz w:val="24"/>
          <w:szCs w:val="24"/>
        </w:rPr>
        <w:t xml:space="preserve">MSP &amp; IT Operations (7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3060"/>
        <w:gridCol w:w="2600"/>
      </w:tblGrid>
      <w:t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Connector</w:t>
            </w:r>
          </w:p>
        </w:tc>
        <w:tc>
          <w:tcPr>
            <w:tcW w:type="dxa" w:w="1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1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30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Types</w:t>
            </w:r>
          </w:p>
        </w:tc>
        <w:tc>
          <w:tcPr>
            <w:tcW w:type="dxa" w:w="2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ConnectWise Manage</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tickets, companies, configs, agreements, time entries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PSA</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ConnectWise Automate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agents, scripts, monitors, patch status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RMM</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NinjaOne (NinjaRMM)</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devices, alerts, patching, backup status, scripts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RMM</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Datto / Kaseya</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backup jobs, BCDR, RMM agents, alerts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RMM/BCDR</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IT Glue</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configurations, passwords, documents, SOPs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Documentation</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Hudu</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assets, passwords, articles, procedures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Documentation</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Halo PSA</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tickets, assets, contracts, invoices, SLAs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PSA</w:t>
            </w:r>
          </w:p>
        </w:tc>
      </w:tr>
    </w:tbl>
    <w:p>
      <w:pPr>
        <w:spacing w:after="60"/>
      </w:pPr>
    </w:p>
    <w:p>
      <w:pPr>
        <w:spacing w:before="200" w:after="120"/>
      </w:pPr>
      <w:r>
        <w:rPr>
          <w:rFonts w:ascii="Arial" w:cs="Arial" w:eastAsia="Arial" w:hAnsi="Arial"/>
          <w:b/>
          <w:bCs/>
          <w:color w:val="1A1A1A"/>
          <w:sz w:val="24"/>
          <w:szCs w:val="24"/>
        </w:rPr>
        <w:t xml:space="preserve">Healthcare &amp; Compliance (4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3060"/>
        <w:gridCol w:w="2600"/>
      </w:tblGrid>
      <w:tr>
        <w:tc>
          <w:tcPr>
            <w:tcW w:type="dxa" w:w="1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Connector</w:t>
            </w:r>
          </w:p>
        </w:tc>
        <w:tc>
          <w:tcPr>
            <w:tcW w:type="dxa" w:w="10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11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306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Types</w:t>
            </w:r>
          </w:p>
        </w:tc>
        <w:tc>
          <w:tcPr>
            <w:tcW w:type="dxa" w:w="2600"/>
            <w:tcBorders>
              <w:top w:val="single" w:color="BFBFBF" w:sz="1"/>
              <w:left w:val="single" w:color="BFBFBF" w:sz="1"/>
              <w:bottom w:val="single" w:color="BFBFBF" w:sz="1"/>
              <w:right w:val="single" w:color="BFBFBF"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Wellsky (Kinnser)</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patient data, OASIS, visit records, 485 plans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Home Health EMR</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athenahealth</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patients, encounters, claims, scheduling</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EHR/PM</w:t>
            </w:r>
          </w:p>
        </w:tc>
      </w:tr>
      <w:tr>
        <w:tc>
          <w:tcPr>
            <w:tcW w:type="dxa" w:w="1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bCs/>
                <w:sz w:val="20"/>
                <w:szCs w:val="20"/>
              </w:rPr>
              <w:t xml:space="preserve">Compliancy Group</w:t>
            </w:r>
          </w:p>
        </w:tc>
        <w:tc>
          <w:tcPr>
            <w:tcW w:type="dxa" w:w="10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API Key</w:t>
            </w:r>
          </w:p>
        </w:tc>
        <w:tc>
          <w:tcPr>
            <w:tcW w:type="dxa" w:w="11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risk assessments, policies, training records</w:t>
            </w:r>
          </w:p>
        </w:tc>
        <w:tc>
          <w:tcPr>
            <w:tcW w:type="dxa" w:w="2600"/>
            <w:tcBorders>
              <w:top w:val="single" w:color="BFBFBF" w:sz="1"/>
              <w:left w:val="single" w:color="BFBFBF" w:sz="1"/>
              <w:bottom w:val="single" w:color="BFBFBF" w:sz="1"/>
              <w:right w:val="single" w:color="BFBFBF" w:sz="1"/>
            </w:tcBorders>
            <w:shd w:fill="F2F6FA" w:val="clear"/>
            <w:tcMar>
              <w:top w:type="dxa" w:w="80"/>
              <w:left w:type="dxa" w:w="120"/>
              <w:bottom w:type="dxa" w:w="80"/>
              <w:right w:type="dxa" w:w="120"/>
            </w:tcMar>
            <w:vAlign w:val="center"/>
          </w:tcPr>
          <w:p>
            <w:r>
              <w:rPr>
                <w:rFonts w:ascii="Arial" w:cs="Arial" w:eastAsia="Arial" w:hAnsi="Arial"/>
                <w:b w:val="false"/>
                <w:bCs w:val="false"/>
                <w:sz w:val="20"/>
                <w:szCs w:val="20"/>
              </w:rPr>
              <w:t xml:space="preserve">HIPAA Compliance</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bCs/>
                <w:sz w:val="20"/>
                <w:szCs w:val="20"/>
              </w:rPr>
              <w:t xml:space="preserve">Vanta</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OAuth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org</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controls, evidence, tests, frameworks, vendors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Compliance Automation</w:t>
            </w:r>
          </w:p>
        </w:tc>
      </w:tr>
    </w:tbl>
    <w:p>
      <w:r>
        <w:br w:type="page"/>
      </w:r>
    </w:p>
    <w:p>
      <w:pPr>
        <w:pStyle w:val="Heading1"/>
        <w:spacing w:before="360" w:after="200"/>
      </w:pPr>
      <w:r>
        <w:rPr>
          <w:rFonts w:ascii="Arial" w:cs="Arial" w:eastAsia="Arial" w:hAnsi="Arial"/>
          <w:b/>
          <w:bCs/>
          <w:color w:val="2E5090"/>
          <w:sz w:val="32"/>
          <w:szCs w:val="32"/>
        </w:rPr>
        <w:t xml:space="preserve">7. Connector Marketplace Framework</w:t>
      </w:r>
    </w:p>
    <w:p>
      <w:pPr>
        <w:spacing w:after="120"/>
      </w:pPr>
      <w:r>
        <w:rPr>
          <w:rFonts w:ascii="Arial" w:cs="Arial" w:eastAsia="Arial" w:hAnsi="Arial"/>
          <w:sz w:val="22"/>
          <w:szCs w:val="22"/>
        </w:rPr>
        <w:t xml:space="preserve">Beyond the initial 25 connectors, the platform must support a scalable marketplace model where tenants can request, vote on, and enable new integrations without core platform changes.</w:t>
      </w:r>
    </w:p>
    <w:p>
      <w:pPr>
        <w:spacing w:after="60"/>
      </w:pPr>
    </w:p>
    <w:p>
      <w:pPr>
        <w:pStyle w:val="Heading2"/>
        <w:spacing w:before="280" w:after="160"/>
      </w:pPr>
      <w:r>
        <w:rPr>
          <w:rFonts w:ascii="Arial" w:cs="Arial" w:eastAsia="Arial" w:hAnsi="Arial"/>
          <w:b/>
          <w:bCs/>
          <w:color w:val="1A1A1A"/>
          <w:sz w:val="28"/>
          <w:szCs w:val="28"/>
        </w:rPr>
        <w:t xml:space="preserve">7.1 Marketplace Architecture</w:t>
      </w:r>
    </w:p>
    <w:p>
      <w:pPr>
        <w:spacing w:after="120"/>
      </w:pPr>
      <w:r>
        <w:rPr>
          <w:rFonts w:ascii="Arial" w:cs="Arial" w:eastAsia="Arial" w:hAnsi="Arial"/>
          <w:b/>
          <w:bCs/>
          <w:sz w:val="22"/>
          <w:szCs w:val="22"/>
        </w:rPr>
        <w:t xml:space="preserve">Connector SDK: </w:t>
      </w:r>
      <w:r>
        <w:rPr>
          <w:rFonts w:ascii="Arial" w:cs="Arial" w:eastAsia="Arial" w:hAnsi="Arial"/>
          <w:sz w:val="22"/>
          <w:szCs w:val="22"/>
        </w:rPr>
        <w:t xml:space="preserve">A published @cavaridge/connector-sdk package that defines the Connector interface, NormalizedData output schema, health check contract, rate limit reporting, and OAuth/API key credential handling. Any developer (internal or future third-party) can build a connector by implementing this SDK.</w:t>
      </w:r>
    </w:p>
    <w:p>
      <w:pPr>
        <w:spacing w:after="60"/>
      </w:pPr>
    </w:p>
    <w:p>
      <w:pPr>
        <w:spacing w:after="120"/>
      </w:pPr>
      <w:r>
        <w:rPr>
          <w:rFonts w:ascii="Arial" w:cs="Arial" w:eastAsia="Arial" w:hAnsi="Arial"/>
          <w:b/>
          <w:bCs/>
          <w:sz w:val="22"/>
          <w:szCs w:val="22"/>
        </w:rPr>
        <w:t xml:space="preserve">Connector Registry: </w:t>
      </w:r>
      <w:r>
        <w:rPr>
          <w:rFonts w:ascii="Arial" w:cs="Arial" w:eastAsia="Arial" w:hAnsi="Arial"/>
          <w:sz w:val="22"/>
          <w:szCs w:val="22"/>
        </w:rPr>
        <w:t xml:space="preserve">A database-backed registry (connectors table in Supabase) tracking: connector_id, name, status (available | beta | requested | deprecated), auth_type, supported_data_types, version, maintainer, install_count, and tenant_votes.</w:t>
      </w:r>
    </w:p>
    <w:p>
      <w:pPr>
        <w:spacing w:after="60"/>
      </w:pPr>
    </w:p>
    <w:p>
      <w:pPr>
        <w:spacing w:after="120"/>
      </w:pPr>
      <w:r>
        <w:rPr>
          <w:rFonts w:ascii="Arial" w:cs="Arial" w:eastAsia="Arial" w:hAnsi="Arial"/>
          <w:b/>
          <w:bCs/>
          <w:sz w:val="22"/>
          <w:szCs w:val="22"/>
        </w:rPr>
        <w:t xml:space="preserve">Tenant Request Flow: </w:t>
      </w:r>
      <w:r>
        <w:rPr>
          <w:rFonts w:ascii="Arial" w:cs="Arial" w:eastAsia="Arial" w:hAnsi="Arial"/>
          <w:sz w:val="22"/>
          <w:szCs w:val="22"/>
        </w:rPr>
        <w:t xml:space="preserve">Tenants can browse available connectors, enable/disable them per-tenant, and submit requests for new connectors with upvoting. High-vote connectors get prioritized in the build backlog. Platform admins see a ranked request queue.</w:t>
      </w:r>
    </w:p>
    <w:p>
      <w:pPr>
        <w:spacing w:after="60"/>
      </w:pPr>
    </w:p>
    <w:p>
      <w:pPr>
        <w:spacing w:after="120"/>
      </w:pPr>
      <w:r>
        <w:rPr>
          <w:rFonts w:ascii="Arial" w:cs="Arial" w:eastAsia="Arial" w:hAnsi="Arial"/>
          <w:b/>
          <w:bCs/>
          <w:sz w:val="22"/>
          <w:szCs w:val="22"/>
        </w:rPr>
        <w:t xml:space="preserve">Connector Lifecycle: </w:t>
      </w:r>
      <w:r>
        <w:rPr>
          <w:rFonts w:ascii="Arial" w:cs="Arial" w:eastAsia="Arial" w:hAnsi="Arial"/>
          <w:sz w:val="22"/>
          <w:szCs w:val="22"/>
        </w:rPr>
        <w:t xml:space="preserve">Requested → Approved → In Development → Beta (opt-in tenants) → Available (all tenants) → Deprecated (sunset with migration path). Each connector has its own version independent of the platform version.</w:t>
      </w:r>
    </w:p>
    <w:p>
      <w:pPr>
        <w:spacing w:after="60"/>
      </w:pPr>
    </w:p>
    <w:p>
      <w:pPr>
        <w:pStyle w:val="Heading2"/>
        <w:spacing w:before="280" w:after="160"/>
      </w:pPr>
      <w:r>
        <w:rPr>
          <w:rFonts w:ascii="Arial" w:cs="Arial" w:eastAsia="Arial" w:hAnsi="Arial"/>
          <w:b/>
          <w:bCs/>
          <w:color w:val="1A1A1A"/>
          <w:sz w:val="28"/>
          <w:szCs w:val="28"/>
        </w:rPr>
        <w:t xml:space="preserve">7.2 Tenant Admin UI</w:t>
      </w:r>
    </w:p>
    <w:p>
      <w:pPr>
        <w:spacing w:after="120"/>
      </w:pPr>
      <w:r>
        <w:rPr>
          <w:rFonts w:ascii="Arial" w:cs="Arial" w:eastAsia="Arial" w:hAnsi="Arial"/>
          <w:sz w:val="22"/>
          <w:szCs w:val="22"/>
        </w:rPr>
        <w:t xml:space="preserve">Each tenant’s admin panel includes an Integrations page showing: connected integrations (with health status), available integrations (one-click enable), beta integrations (opt-in with disclaimer), and a request/vote section for new integrations. Connection credentials are encrypted at rest (AES-256) and scoped to the tenant — no cross-tenant credential access is possible at the database layer via RLS.</w:t>
      </w:r>
    </w:p>
    <w:p>
      <w:pPr>
        <w:spacing w:after="60"/>
      </w:pPr>
    </w:p>
    <w:p>
      <w:pPr>
        <w:pStyle w:val="Heading2"/>
        <w:spacing w:before="280" w:after="160"/>
      </w:pPr>
      <w:r>
        <w:rPr>
          <w:rFonts w:ascii="Arial" w:cs="Arial" w:eastAsia="Arial" w:hAnsi="Arial"/>
          <w:b/>
          <w:bCs/>
          <w:color w:val="1A1A1A"/>
          <w:sz w:val="28"/>
          <w:szCs w:val="28"/>
        </w:rPr>
        <w:t xml:space="preserve">7.3 Webhook &amp; Event Framework</w:t>
      </w:r>
    </w:p>
    <w:p>
      <w:pPr>
        <w:spacing w:after="120"/>
      </w:pPr>
      <w:r>
        <w:rPr>
          <w:rFonts w:ascii="Arial" w:cs="Arial" w:eastAsia="Arial" w:hAnsi="Arial"/>
          <w:sz w:val="22"/>
          <w:szCs w:val="22"/>
        </w:rPr>
        <w:t xml:space="preserve">Connectors that support webhooks (Salesforce, HubSpot, ConnectWise, NinjaOne, Jira, GitHub, etc.) register webhook endpoints through a centralized webhook gateway at /api/webhooks/:connector/:tenant. The gateway validates signatures, routes events to the correct tenant context, normalizes payloads into the standard NormalizedData format, and queues processing via BullMQ. This enables real-time data sync rather than poll-based fetching for supported connectors.</w:t>
      </w:r>
    </w:p>
    <w:p>
      <w:r>
        <w:br w:type="page"/>
      </w:r>
    </w:p>
    <w:p>
      <w:pPr>
        <w:pStyle w:val="Heading1"/>
        <w:spacing w:before="360" w:after="200"/>
      </w:pPr>
      <w:r>
        <w:rPr>
          <w:rFonts w:ascii="Arial" w:cs="Arial" w:eastAsia="Arial" w:hAnsi="Arial"/>
          <w:b/>
          <w:bCs/>
          <w:color w:val="2E5090"/>
          <w:sz w:val="32"/>
          <w:szCs w:val="32"/>
        </w:rPr>
        <w:t xml:space="preserve">8. Integration with Existing Architecture</w:t>
      </w:r>
    </w:p>
    <w:p>
      <w:pPr>
        <w:spacing w:after="60"/>
      </w:pPr>
    </w:p>
    <w:p>
      <w:pPr>
        <w:pStyle w:val="Heading2"/>
        <w:spacing w:before="280" w:after="160"/>
      </w:pPr>
      <w:r>
        <w:rPr>
          <w:rFonts w:ascii="Arial" w:cs="Arial" w:eastAsia="Arial" w:hAnsi="Arial"/>
          <w:b/>
          <w:bCs/>
          <w:color w:val="1A1A1A"/>
          <w:sz w:val="28"/>
          <w:szCs w:val="28"/>
        </w:rPr>
        <w:t xml:space="preserve">8.1 Monorepo Impact</w:t>
      </w:r>
    </w:p>
    <w:p>
      <w:pPr>
        <w:spacing w:after="120"/>
      </w:pPr>
      <w:r>
        <w:rPr>
          <w:rFonts w:ascii="Arial" w:cs="Arial" w:eastAsia="Arial" w:hAnsi="Arial"/>
          <w:sz w:val="22"/>
          <w:szCs w:val="22"/>
        </w:rPr>
        <w:t xml:space="preserve">New packages to add to the pnpm workspace:</w:t>
      </w:r>
    </w:p>
    <w:p>
      <w:pPr>
        <w:spacing w:after="60"/>
      </w:pPr>
    </w:p>
    <w:p>
      <w:pPr>
        <w:spacing w:after="120"/>
      </w:pPr>
      <w:r>
        <w:rPr>
          <w:rFonts w:ascii="Arial" w:cs="Arial" w:eastAsia="Arial" w:hAnsi="Arial"/>
          <w:b/>
          <w:bCs/>
          <w:sz w:val="22"/>
          <w:szCs w:val="22"/>
        </w:rPr>
        <w:t xml:space="preserve">packages/domain-agents/</w:t>
      </w:r>
      <w:r>
        <w:rPr>
          <w:rFonts w:ascii="Arial" w:cs="Arial" w:eastAsia="Arial" w:hAnsi="Arial"/>
          <w:sz w:val="22"/>
          <w:szCs w:val="22"/>
        </w:rPr>
        <w:t xml:space="preserve"> — All 12 domain agent implementations, each in its own subdirectory with knowledge base configs, prompt templates, guardrail definitions, and test suites.</w:t>
      </w:r>
    </w:p>
    <w:p>
      <w:pPr>
        <w:spacing w:after="60"/>
      </w:pPr>
    </w:p>
    <w:p>
      <w:pPr>
        <w:spacing w:after="120"/>
      </w:pPr>
      <w:r>
        <w:rPr>
          <w:rFonts w:ascii="Arial" w:cs="Arial" w:eastAsia="Arial" w:hAnsi="Arial"/>
          <w:b/>
          <w:bCs/>
          <w:sz w:val="22"/>
          <w:szCs w:val="22"/>
        </w:rPr>
        <w:t xml:space="preserve">packages/connector-sdk/</w:t>
      </w:r>
      <w:r>
        <w:rPr>
          <w:rFonts w:ascii="Arial" w:cs="Arial" w:eastAsia="Arial" w:hAnsi="Arial"/>
          <w:sz w:val="22"/>
          <w:szCs w:val="22"/>
        </w:rPr>
        <w:t xml:space="preserve"> — Published as @cavaridge/connector-sdk. Contains the Connector interface, NormalizedData types, credential handling utilities, and webhook gateway middleware.</w:t>
      </w:r>
    </w:p>
    <w:p>
      <w:pPr>
        <w:spacing w:after="60"/>
      </w:pPr>
    </w:p>
    <w:p>
      <w:pPr>
        <w:spacing w:after="120"/>
      </w:pPr>
      <w:r>
        <w:rPr>
          <w:rFonts w:ascii="Arial" w:cs="Arial" w:eastAsia="Arial" w:hAnsi="Arial"/>
          <w:b/>
          <w:bCs/>
          <w:sz w:val="22"/>
          <w:szCs w:val="22"/>
        </w:rPr>
        <w:t xml:space="preserve">packages/connectors/</w:t>
      </w:r>
      <w:r>
        <w:rPr>
          <w:rFonts w:ascii="Arial" w:cs="Arial" w:eastAsia="Arial" w:hAnsi="Arial"/>
          <w:sz w:val="22"/>
          <w:szCs w:val="22"/>
        </w:rPr>
        <w:t xml:space="preserve"> — All 25 connector implementations, each in its own subdirectory. Imports @cavaridge/connector-sdk.</w:t>
      </w:r>
    </w:p>
    <w:p>
      <w:pPr>
        <w:spacing w:after="60"/>
      </w:pPr>
    </w:p>
    <w:p>
      <w:pPr>
        <w:pStyle w:val="Heading2"/>
        <w:spacing w:before="280" w:after="160"/>
      </w:pPr>
      <w:r>
        <w:rPr>
          <w:rFonts w:ascii="Arial" w:cs="Arial" w:eastAsia="Arial" w:hAnsi="Arial"/>
          <w:b/>
          <w:bCs/>
          <w:color w:val="1A1A1A"/>
          <w:sz w:val="28"/>
          <w:szCs w:val="28"/>
        </w:rPr>
        <w:t xml:space="preserve">8.2 Build Order Impact</w:t>
      </w:r>
    </w:p>
    <w:p>
      <w:pPr>
        <w:spacing w:after="120"/>
      </w:pPr>
      <w:r>
        <w:rPr>
          <w:rFonts w:ascii="Arial" w:cs="Arial" w:eastAsia="Arial" w:hAnsi="Arial"/>
          <w:sz w:val="22"/>
          <w:szCs w:val="22"/>
        </w:rPr>
        <w:t xml:space="preserve">Domain agents and connectors are infrastructure — they should be built in Phase 2 alongside the shared functional agents, not deferred to Phase 3. Updated build sequence:</w:t>
      </w:r>
    </w:p>
    <w:p>
      <w:pPr>
        <w:spacing w:after="60"/>
      </w:pPr>
    </w:p>
    <w:p>
      <w:pPr>
        <w:spacing w:after="120"/>
      </w:pPr>
      <w:r>
        <w:rPr>
          <w:rFonts w:ascii="Arial" w:cs="Arial" w:eastAsia="Arial" w:hAnsi="Arial"/>
          <w:b/>
          <w:bCs/>
          <w:sz w:val="22"/>
          <w:szCs w:val="22"/>
        </w:rPr>
        <w:t xml:space="preserve">Phase 1 (Months 1-3): </w:t>
      </w:r>
      <w:r>
        <w:rPr>
          <w:rFonts w:ascii="Arial" w:cs="Arial" w:eastAsia="Arial" w:hAnsi="Arial"/>
          <w:sz w:val="22"/>
          <w:szCs w:val="22"/>
        </w:rPr>
        <w:t xml:space="preserve">Spaniel gateway + agent-core + agent-runtime + connector-sdk (unchanged).</w:t>
      </w:r>
    </w:p>
    <w:p>
      <w:pPr>
        <w:spacing w:after="60"/>
      </w:pPr>
    </w:p>
    <w:p>
      <w:pPr>
        <w:spacing w:after="120"/>
      </w:pPr>
      <w:r>
        <w:rPr>
          <w:rFonts w:ascii="Arial" w:cs="Arial" w:eastAsia="Arial" w:hAnsi="Arial"/>
          <w:b/>
          <w:bCs/>
          <w:sz w:val="22"/>
          <w:szCs w:val="22"/>
        </w:rPr>
        <w:t xml:space="preserve">Phase 2 (Months 3-6): </w:t>
      </w:r>
      <w:r>
        <w:rPr>
          <w:rFonts w:ascii="Arial" w:cs="Arial" w:eastAsia="Arial" w:hAnsi="Arial"/>
          <w:sz w:val="22"/>
          <w:szCs w:val="22"/>
        </w:rPr>
        <w:t xml:space="preserve">7 shared functional agents + 12 domain agents + first 15 connectors (dev/business/productivity/MSP core). Domain agents are built in priority order: HIPAA, CMS/Medicare, Tech/Infra, Cybersecurity, Finance, Legal, then remaining.</w:t>
      </w:r>
    </w:p>
    <w:p>
      <w:pPr>
        <w:spacing w:after="60"/>
      </w:pPr>
    </w:p>
    <w:p>
      <w:pPr>
        <w:spacing w:after="120"/>
      </w:pPr>
      <w:r>
        <w:rPr>
          <w:rFonts w:ascii="Arial" w:cs="Arial" w:eastAsia="Arial" w:hAnsi="Arial"/>
          <w:b/>
          <w:bCs/>
          <w:sz w:val="22"/>
          <w:szCs w:val="22"/>
        </w:rPr>
        <w:t xml:space="preserve">Phase 3 (Months 6-9): </w:t>
      </w:r>
      <w:r>
        <w:rPr>
          <w:rFonts w:ascii="Arial" w:cs="Arial" w:eastAsia="Arial" w:hAnsi="Arial"/>
          <w:sz w:val="22"/>
          <w:szCs w:val="22"/>
        </w:rPr>
        <w:t xml:space="preserve">App migration + remaining 10 connectors (healthcare, compliance, expanded MSP) + connector marketplace UI.</w:t>
      </w:r>
    </w:p>
    <w:p>
      <w:pPr>
        <w:spacing w:after="60"/>
      </w:pPr>
    </w:p>
    <w:p>
      <w:pPr>
        <w:spacing w:after="120"/>
      </w:pPr>
      <w:r>
        <w:rPr>
          <w:rFonts w:ascii="Arial" w:cs="Arial" w:eastAsia="Arial" w:hAnsi="Arial"/>
          <w:b/>
          <w:bCs/>
          <w:sz w:val="22"/>
          <w:szCs w:val="22"/>
        </w:rPr>
        <w:t xml:space="preserve">Phase 4 (Months 9-12): </w:t>
      </w:r>
      <w:r>
        <w:rPr>
          <w:rFonts w:ascii="Arial" w:cs="Arial" w:eastAsia="Arial" w:hAnsi="Arial"/>
          <w:sz w:val="22"/>
          <w:szCs w:val="22"/>
        </w:rPr>
        <w:t xml:space="preserve">Optimization + third-party connector SDK publication + marketplace tenant request flow.</w:t>
      </w:r>
    </w:p>
    <w:p>
      <w:pPr>
        <w:spacing w:after="60"/>
      </w:pPr>
    </w:p>
    <w:p>
      <w:pPr>
        <w:pStyle w:val="Heading2"/>
        <w:spacing w:before="280" w:after="160"/>
      </w:pPr>
      <w:r>
        <w:rPr>
          <w:rFonts w:ascii="Arial" w:cs="Arial" w:eastAsia="Arial" w:hAnsi="Arial"/>
          <w:b/>
          <w:bCs/>
          <w:color w:val="1A1A1A"/>
          <w:sz w:val="28"/>
          <w:szCs w:val="28"/>
        </w:rPr>
        <w:t xml:space="preserve">8.3 CLAUDE.md Update</w:t>
      </w:r>
    </w:p>
    <w:p>
      <w:pPr>
        <w:spacing w:after="120"/>
      </w:pPr>
      <w:r>
        <w:rPr>
          <w:rFonts w:ascii="Arial" w:cs="Arial" w:eastAsia="Arial" w:hAnsi="Arial"/>
          <w:sz w:val="22"/>
          <w:szCs w:val="22"/>
        </w:rPr>
        <w:t xml:space="preserve">The following conventions should be appended to CLAUDE.md in the monorepo root:</w:t>
      </w:r>
    </w:p>
    <w:p>
      <w:pPr>
        <w:spacing w:after="60"/>
      </w:pPr>
    </w:p>
    <w:p>
      <w:pPr>
        <w:spacing w:after="120"/>
      </w:pPr>
      <w:r>
        <w:rPr>
          <w:rFonts w:ascii="Arial" w:cs="Arial" w:eastAsia="Arial" w:hAnsi="Arial"/>
          <w:b/>
          <w:bCs/>
          <w:sz w:val="22"/>
          <w:szCs w:val="22"/>
        </w:rPr>
        <w:t xml:space="preserve">Domain agents live in packages/domain-agents/{domain-id}/. </w:t>
      </w:r>
      <w:r>
        <w:rPr>
          <w:rFonts w:ascii="Arial" w:cs="Arial" w:eastAsia="Arial" w:hAnsi="Arial"/>
          <w:sz w:val="22"/>
          <w:szCs w:val="22"/>
        </w:rPr>
        <w:t xml:space="preserve">Each must implement the DomainAgent interface from @cavaridge/agent-core. Each must include a knowledge-sources.json manifest, guardrails.json, and a test suite validating guardrail enforcement.</w:t>
      </w:r>
    </w:p>
    <w:p>
      <w:pPr>
        <w:spacing w:after="60"/>
      </w:pPr>
    </w:p>
    <w:p>
      <w:pPr>
        <w:spacing w:after="120"/>
      </w:pPr>
      <w:r>
        <w:rPr>
          <w:rFonts w:ascii="Arial" w:cs="Arial" w:eastAsia="Arial" w:hAnsi="Arial"/>
          <w:b/>
          <w:bCs/>
          <w:sz w:val="22"/>
          <w:szCs w:val="22"/>
        </w:rPr>
        <w:t xml:space="preserve">Connectors live in packages/connectors/{connector-name}/. </w:t>
      </w:r>
      <w:r>
        <w:rPr>
          <w:rFonts w:ascii="Arial" w:cs="Arial" w:eastAsia="Arial" w:hAnsi="Arial"/>
          <w:sz w:val="22"/>
          <w:szCs w:val="22"/>
        </w:rPr>
        <w:t xml:space="preserve">Each must implement the Connector interface from @cavaridge/connector-sdk. Each must include health check, rate limit reporting, and credential encryption via @cavaridge/security.</w:t>
      </w:r>
    </w:p>
    <w:p>
      <w:pPr>
        <w:spacing w:after="60"/>
      </w:pPr>
    </w:p>
    <w:p>
      <w:pPr>
        <w:spacing w:after="120"/>
      </w:pPr>
      <w:r>
        <w:rPr>
          <w:rFonts w:ascii="Arial" w:cs="Arial" w:eastAsia="Arial" w:hAnsi="Arial"/>
          <w:b/>
          <w:bCs/>
          <w:sz w:val="22"/>
          <w:szCs w:val="22"/>
        </w:rPr>
        <w:t xml:space="preserve">Any functional agent that touches regulated data MUST invoke the appropriate domain agent. </w:t>
      </w:r>
      <w:r>
        <w:rPr>
          <w:rFonts w:ascii="Arial" w:cs="Arial" w:eastAsia="Arial" w:hAnsi="Arial"/>
          <w:sz w:val="22"/>
          <w:szCs w:val="22"/>
        </w:rPr>
        <w:t xml:space="preserve">The Compliance Checker must not hard-code regulatory rules — it queries domain agents. The Risk Scorer must not embed scoring criteria for regulated domains — it queries domain agents for weights and thresholds.</w:t>
      </w:r>
    </w:p>
    <w:p>
      <w:r>
        <w:br w:type="page"/>
      </w:r>
    </w:p>
    <w:p>
      <w:pPr>
        <w:pStyle w:val="Heading1"/>
        <w:spacing w:before="360" w:after="200"/>
      </w:pPr>
      <w:r>
        <w:rPr>
          <w:rFonts w:ascii="Arial" w:cs="Arial" w:eastAsia="Arial" w:hAnsi="Arial"/>
          <w:b/>
          <w:bCs/>
          <w:color w:val="2E5090"/>
          <w:sz w:val="32"/>
          <w:szCs w:val="32"/>
        </w:rPr>
        <w:t xml:space="preserve">9. Open Decisions</w:t>
      </w:r>
    </w:p>
    <w:p>
      <w:pPr>
        <w:spacing w:after="60"/>
      </w:pPr>
    </w:p>
    <w:p>
      <w:pPr>
        <w:spacing w:after="120"/>
      </w:pPr>
      <w:r>
        <w:rPr>
          <w:rFonts w:ascii="Arial" w:cs="Arial" w:eastAsia="Arial" w:hAnsi="Arial"/>
          <w:b/>
          <w:bCs/>
          <w:sz w:val="22"/>
          <w:szCs w:val="22"/>
        </w:rPr>
        <w:t xml:space="preserve">1. Domain agent knowledge base hosting: </w:t>
      </w:r>
      <w:r>
        <w:rPr>
          <w:rFonts w:ascii="Arial" w:cs="Arial" w:eastAsia="Arial" w:hAnsi="Arial"/>
          <w:sz w:val="22"/>
          <w:szCs w:val="22"/>
        </w:rPr>
        <w:t xml:space="preserve">Should domain-specific vector stores live in the same Supabase instance (separate schemas per domain) or isolated databases for regulatory separation? Recommendation: same instance, separate pgvector tables with domain prefixes, RLS-enforced.</w:t>
      </w:r>
    </w:p>
    <w:p>
      <w:pPr>
        <w:spacing w:after="60"/>
      </w:pPr>
    </w:p>
    <w:p>
      <w:pPr>
        <w:spacing w:after="120"/>
      </w:pPr>
      <w:r>
        <w:rPr>
          <w:rFonts w:ascii="Arial" w:cs="Arial" w:eastAsia="Arial" w:hAnsi="Arial"/>
          <w:b/>
          <w:bCs/>
          <w:sz w:val="22"/>
          <w:szCs w:val="22"/>
        </w:rPr>
        <w:t xml:space="preserve">2. Regulatory update pipeline automation: </w:t>
      </w:r>
      <w:r>
        <w:rPr>
          <w:rFonts w:ascii="Arial" w:cs="Arial" w:eastAsia="Arial" w:hAnsi="Arial"/>
          <w:sz w:val="22"/>
          <w:szCs w:val="22"/>
        </w:rPr>
        <w:t xml:space="preserve">Should the platform auto-ingest regulatory updates from source authorities (CMS.gov, NIST, PCI SSC) or require manual review before knowledge base updates? Recommendation: auto-ingest with human review gate before promotion to production knowledge base.</w:t>
      </w:r>
    </w:p>
    <w:p>
      <w:pPr>
        <w:spacing w:after="60"/>
      </w:pPr>
    </w:p>
    <w:p>
      <w:pPr>
        <w:spacing w:after="120"/>
      </w:pPr>
      <w:r>
        <w:rPr>
          <w:rFonts w:ascii="Arial" w:cs="Arial" w:eastAsia="Arial" w:hAnsi="Arial"/>
          <w:b/>
          <w:bCs/>
          <w:sz w:val="22"/>
          <w:szCs w:val="22"/>
        </w:rPr>
        <w:t xml:space="preserve">3. Third-party connector SDK publication timeline: </w:t>
      </w:r>
      <w:r>
        <w:rPr>
          <w:rFonts w:ascii="Arial" w:cs="Arial" w:eastAsia="Arial" w:hAnsi="Arial"/>
          <w:sz w:val="22"/>
          <w:szCs w:val="22"/>
        </w:rPr>
        <w:t xml:space="preserve">When should @cavaridge/connector-sdk be published to npm for external developers? Recommendation: Phase 4, after internal connectors have validated the interface stability.</w:t>
      </w:r>
    </w:p>
    <w:p>
      <w:pPr>
        <w:spacing w:after="60"/>
      </w:pPr>
    </w:p>
    <w:p>
      <w:pPr>
        <w:spacing w:after="120"/>
      </w:pPr>
      <w:r>
        <w:rPr>
          <w:rFonts w:ascii="Arial" w:cs="Arial" w:eastAsia="Arial" w:hAnsi="Arial"/>
          <w:b/>
          <w:bCs/>
          <w:sz w:val="22"/>
          <w:szCs w:val="22"/>
        </w:rPr>
        <w:t xml:space="preserve">4. Domain agent cost allocation: </w:t>
      </w:r>
      <w:r>
        <w:rPr>
          <w:rFonts w:ascii="Arial" w:cs="Arial" w:eastAsia="Arial" w:hAnsi="Arial"/>
          <w:sz w:val="22"/>
          <w:szCs w:val="22"/>
        </w:rPr>
        <w:t xml:space="preserve">Domain agent queries consume LLM tokens via Spaniel. Should domain agent token usage be billed to the calling app or tracked separately as platform infrastructure cost? Recommendation: tracked separately as platform cost in Langfuse, allocated to tenants proportionally for billing visibility but not direct pass-through.</w:t>
      </w:r>
    </w:p>
    <w:p>
      <w:pPr>
        <w:spacing w:after="60"/>
      </w:pPr>
    </w:p>
    <w:p>
      <w:pPr>
        <w:spacing w:after="120"/>
      </w:pPr>
      <w:r>
        <w:rPr>
          <w:rFonts w:ascii="Arial" w:cs="Arial" w:eastAsia="Arial" w:hAnsi="Arial"/>
          <w:b/>
          <w:bCs/>
          <w:sz w:val="22"/>
          <w:szCs w:val="22"/>
        </w:rPr>
        <w:t xml:space="preserve">5. Connector marketplace monetization: </w:t>
      </w:r>
      <w:r>
        <w:rPr>
          <w:rFonts w:ascii="Arial" w:cs="Arial" w:eastAsia="Arial" w:hAnsi="Arial"/>
          <w:sz w:val="22"/>
          <w:szCs w:val="22"/>
        </w:rPr>
        <w:t xml:space="preserve">Should premium connectors (enterprise ERPs, healthcare EMRs) be gated behind higher subscription tiers? Recommendation: yes — base tier gets core 10, professional tier gets all 25, enterprise tier gets marketplace access and custom connector requests.</w:t>
      </w:r>
    </w:p>
    <w:p>
      <w:pPr>
        <w:spacing w:after="60"/>
      </w:pPr>
    </w:p>
    <w:p>
      <w:pPr>
        <w:spacing w:after="60"/>
      </w:pPr>
    </w:p>
    <w:p>
      <w:pPr>
        <w:pBdr>
          <w:top w:val="single" w:color="2E5090" w:sz="4" w:space="8"/>
        </w:pBdr>
        <w:spacing w:before="400"/>
      </w:pPr>
      <w:r>
        <w:rPr>
          <w:rFonts w:ascii="Arial" w:cs="Arial" w:eastAsia="Arial" w:hAnsi="Arial"/>
          <w:i/>
          <w:iCs/>
          <w:color w:val="999999"/>
          <w:sz w:val="18"/>
          <w:szCs w:val="18"/>
        </w:rPr>
        <w:t xml:space="preserve">End of Document</w:t>
      </w:r>
      <w:r>
        <w:rPr>
          <w:rFonts w:ascii="Arial" w:cs="Arial" w:eastAsia="Arial" w:hAnsi="Arial"/>
          <w:i/>
          <w:iCs/>
          <w:color w:val="999999"/>
          <w:sz w:val="18"/>
          <w:szCs w:val="18"/>
        </w:rPr>
        <w:t xml:space="preserve"> — CVG-ARCH-ADDENDUM-A-v1.0 — Cavaridge, LLC — All Rights Reserved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jc w:val="center"/>
    </w:pPr>
    <w:r>
      <w:rPr>
        <w:rFonts w:ascii="Arial" w:cs="Arial" w:eastAsia="Arial" w:hAnsi="Arial"/>
        <w:color w:val="999999"/>
        <w:sz w:val="14"/>
        <w:szCs w:val="14"/>
      </w:rPr>
      <w:t xml:space="preserve">Cavaridge, LLC — Confidential — CVG-ARCH-ADDENDUM-A-v1.0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jc w:val="right"/>
    </w:pPr>
    <w:r>
      <w:rPr>
        <w:rFonts w:ascii="Arial" w:cs="Arial" w:eastAsia="Arial" w:hAnsi="Arial"/>
        <w:b/>
        <w:bCs/>
        <w:color w:val="2E5090"/>
        <w:sz w:val="16"/>
        <w:szCs w:val="16"/>
      </w:rPr>
      <w:t xml:space="preserve">CAVARIDGE, LLC</w:t>
    </w:r>
    <w:r>
      <w:rPr>
        <w:rFonts w:ascii="Arial" w:cs="Arial" w:eastAsia="Arial" w:hAnsi="Arial"/>
        <w:color w:val="666666"/>
        <w:sz w:val="16"/>
        <w:szCs w:val="16"/>
      </w:rPr>
      <w:t xml:space="preserve">  |  Architecture Addendum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2026-03-15T19:19:35.604Z</dcterms:created>
  <dcterms:modified xsi:type="dcterms:W3CDTF">2026-03-15T19:19:35.605Z</dcterms:modified>
</cp:coreProperties>
</file>

<file path=docProps/custom.xml><?xml version="1.0" encoding="utf-8"?>
<Properties xmlns="http://schemas.openxmlformats.org/officeDocument/2006/custom-properties" xmlns:vt="http://schemas.openxmlformats.org/officeDocument/2006/docPropsVTypes"/>
</file>