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40"/>
          <w:szCs w:val="40"/>
        </w:rPr>
        <w:t xml:space="preserve">CAVARIDGE CAVALIER PARTNERS</w:t>
      </w:r>
    </w:p>
    <w:p>
      <w:pPr>
        <w:spacing w:after="200"/>
        <w:jc w:val="center"/>
      </w:pPr>
      <w:r>
        <w:rPr>
          <w:rFonts w:ascii="Arial" w:cs="Arial" w:eastAsia="Arial" w:hAnsi="Arial"/>
          <w:color w:val="1A1A1A"/>
          <w:sz w:val="32"/>
          <w:szCs w:val="32"/>
        </w:rPr>
        <w:t xml:space="preserve">Channel Partner GTM Architecture</w:t>
      </w:r>
    </w:p>
    <w:p>
      <w:pPr>
        <w:spacing w:after="100"/>
        <w:jc w:val="center"/>
      </w:pPr>
      <w:r>
        <w:rPr>
          <w:rFonts w:ascii="Arial" w:cs="Arial" w:eastAsia="Arial" w:hAnsi="Arial"/>
          <w:color w:val="2E5090"/>
          <w:sz w:val="22"/>
          <w:szCs w:val="22"/>
        </w:rPr>
        <w:t xml:space="preserve">Full Module Map | RMM/PSA Comparison | GTM Strategy | PSA-Lite Scope</w:t>
      </w:r>
    </w:p>
    <w:p>
      <w:pPr>
        <w:spacing w:before="600"/>
        <w:jc w:val="center"/>
      </w:pPr>
      <w:r>
        <w:rPr>
          <w:rFonts w:ascii="Arial" w:cs="Arial" w:eastAsia="Arial" w:hAnsi="Arial"/>
          <w:color w:val="666666"/>
          <w:sz w:val="20"/>
          <w:szCs w:val="20"/>
        </w:rPr>
        <w:t xml:space="preserve">Document: CVG-CAVALIER-GTM-v1.0</w:t>
      </w:r>
    </w:p>
    <w:p>
      <w:pPr>
        <w:jc w:val="center"/>
      </w:pPr>
      <w:r>
        <w:rPr>
          <w:rFonts w:ascii="Arial" w:cs="Arial" w:eastAsia="Arial" w:hAnsi="Arial"/>
          <w:color w:val="666666"/>
          <w:sz w:val="20"/>
          <w:szCs w:val="20"/>
        </w:rPr>
        <w:t xml:space="preserve">Date: March 15, 2026</w:t>
      </w:r>
    </w:p>
    <w:p>
      <w:pPr>
        <w:jc w:val="center"/>
      </w:pPr>
      <w:r>
        <w:rPr>
          <w:rFonts w:ascii="Arial" w:cs="Arial" w:eastAsia="Arial" w:hAnsi="Arial"/>
          <w:color w:val="666666"/>
          <w:sz w:val="20"/>
          <w:szCs w:val="20"/>
        </w:rPr>
        <w:t xml:space="preserve">Classification: Cavaridge, LLC — Internal / Strategic</w:t>
      </w:r>
    </w:p>
    <w:p>
      <w:pPr>
        <w:spacing w:before="200"/>
        <w:jc w:val="center"/>
      </w:pPr>
      <w:r>
        <w:rPr>
          <w:rFonts w:ascii="Arial" w:cs="Arial" w:eastAsia="Arial" w:hAnsi="Arial"/>
          <w:color w:val="666666"/>
          <w:sz w:val="20"/>
          <w:szCs w:val="20"/>
        </w:rPr>
        <w:t xml:space="preserve">Prepared by: Benjamin Posner, Principal</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color w:val="1A1A1A"/>
          <w:sz w:val="22"/>
          <w:szCs w:val="22"/>
        </w:rPr>
        <w:t xml:space="preserve">This document defines the architecture, module map, competitive landscape, and go-to-market strategy for Cavaridge Cavalier Partners, the channel partner program within the Cavaridge platform ecosystem. Cavalier Partners enables qualified MSPs, IT consultants, and managed services operators to launch or scale an AI-native managed services practice powered by the full Cavaridge agent stack.</w:t>
      </w:r>
    </w:p>
    <w:p>
      <w:pPr>
        <w:spacing w:after="120"/>
      </w:pPr>
      <w:r>
        <w:rPr>
          <w:rFonts w:ascii="Arial" w:cs="Arial" w:eastAsia="Arial" w:hAnsi="Arial"/>
          <w:color w:val="1A1A1A"/>
          <w:sz w:val="22"/>
          <w:szCs w:val="22"/>
        </w:rPr>
        <w:t xml:space="preserve">Unlike turnkey franchise models that provide little more than a branded CRM and outreach templates, Cavalier Partners delivers genuine differentiation: proprietary AI agents (Ducky, Spaniel), vertical compliance depth (HIPAA, PCI-DSS, SOC 2), M&amp;A intelligence (Meridian), automated SoW generation (Caelum), and a multitenancy architecture purpose-built for MSP channel distribution.</w:t>
      </w:r>
    </w:p>
    <w:p>
      <w:pPr>
        <w:spacing w:after="120"/>
      </w:pPr>
      <w:r>
        <w:rPr>
          <w:rFonts w:ascii="Arial" w:cs="Arial" w:eastAsia="Arial" w:hAnsi="Arial"/>
          <w:color w:val="1A1A1A"/>
          <w:sz w:val="22"/>
          <w:szCs w:val="22"/>
        </w:rPr>
        <w:t xml:space="preserve">The strategic positioning is: "Bring your RMM, we handle everything else — including making your RMM smarter." Cavalier Partners wraps intelligence, compliance, and automation around the RMM a partner already uses, while providing native PSA-lite, documentation, proposal generation, and billing capabilities that replace the rest of the traditional MSP stack.</w:t>
      </w:r>
    </w:p>
    <w:p>
      <w:r>
        <w:br w:type="page"/>
      </w:r>
    </w:p>
    <w:p>
      <w:pPr>
        <w:pStyle w:val="Heading1"/>
      </w:pPr>
      <w:r>
        <w:rPr>
          <w:rFonts w:ascii="Arial" w:cs="Arial" w:eastAsia="Arial" w:hAnsi="Arial"/>
        </w:rPr>
        <w:t xml:space="preserve">2. Full Module / App Map for Channel GTM</w:t>
      </w:r>
    </w:p>
    <w:p>
      <w:pPr>
        <w:spacing w:after="120"/>
      </w:pPr>
      <w:r>
        <w:rPr>
          <w:rFonts w:ascii="Arial" w:cs="Arial" w:eastAsia="Arial" w:hAnsi="Arial"/>
          <w:color w:val="1A1A1A"/>
          <w:sz w:val="22"/>
          <w:szCs w:val="22"/>
        </w:rPr>
        <w:t xml:space="preserve">The Cavalier Partners channel partner stack is organized into four tiers: the Cavaridge Native Platform (what we build and own), the Integration Layer (what we connect to), the Partner Operations Layer (what the partner uses daily), and the Client-Facing Layer (what end clients see).</w:t>
      </w:r>
    </w:p>
    <w:p>
      <w:pPr>
        <w:pStyle w:val="Heading2"/>
      </w:pPr>
      <w:r>
        <w:rPr>
          <w:rFonts w:ascii="Arial" w:cs="Arial" w:eastAsia="Arial" w:hAnsi="Arial"/>
        </w:rPr>
        <w:t xml:space="preserve">2.1 Tier 1: Cavaridge Native Platform</w:t>
      </w:r>
    </w:p>
    <w:p>
      <w:pPr>
        <w:spacing w:after="120"/>
      </w:pPr>
      <w:r>
        <w:rPr>
          <w:rFonts w:ascii="Arial" w:cs="Arial" w:eastAsia="Arial" w:hAnsi="Arial"/>
          <w:color w:val="1A1A1A"/>
          <w:sz w:val="22"/>
          <w:szCs w:val="22"/>
        </w:rPr>
        <w:t xml:space="preserve">These are the proprietary applications and agents built within the Cavaridge monorepo that form the core IP and competitive moat of the channel offering.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1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 Code</w:t>
            </w:r>
          </w:p>
        </w:tc>
        <w:tc>
          <w:tcPr>
            <w:tcW w:type="dxa" w:w="53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 Function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Ducky AI</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CVG-RESEARCH</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Partner + client-facing AI personality. Onboarding wizard, guided setup, knowledge recall, support triage. The user relationship layer.</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Spaniel</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CVG-AI</w:t>
            </w:r>
          </w:p>
        </w:tc>
        <w:tc>
          <w:tcPr>
            <w:tcW w:type="dxa" w:w="5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Execution engine. Script generation, remediation recommendations, alert correlation, automation orchestration.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Caelum</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CVG-CAELUM</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SoW/proposal generation. Partners generate branded client proposals with DIT-spec formatting. Revenue enablement.</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Meridian</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CVG-MER</w:t>
            </w:r>
          </w:p>
        </w:tc>
        <w:tc>
          <w:tcPr>
            <w:tcW w:type="dxa" w:w="5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M&amp;A IT intelligence. Due diligence frameworks, risk scoring, remediation CapEx estimation. Premium tier feature.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HIPAA Engine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CVG-HIPAA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Healthcare compliance automation. Policy generation, risk assessment, BAA tracking, audit preparation.</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AEGIS</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CVG-AEGIS</w:t>
            </w:r>
          </w:p>
        </w:tc>
        <w:tc>
          <w:tcPr>
            <w:tcW w:type="dxa" w:w="5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Security posture management. Vulnerability assessment, compliance mapping (PCI-DSS, SOC 2, HITRUST).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Midas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CVG-MIDAS</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Billing, contract management, recurring revenue tracking. Native PSA-lite financial module.</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Brain</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CVG-BRAIN</w:t>
            </w:r>
          </w:p>
        </w:tc>
        <w:tc>
          <w:tcPr>
            <w:tcW w:type="dxa" w:w="5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Voice-first knowledge capture and recall. Documentation engine for partner tribal knowledge.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Astra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CVG-ASTRA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Client portal. End-client self-service: ticket submission, knowledge base, asset view, SLA dashboard.</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Core</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CVG-CORE</w:t>
            </w:r>
          </w:p>
        </w:tc>
        <w:tc>
          <w:tcPr>
            <w:tcW w:type="dxa" w:w="5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Auth, tenant management, RBAC, theme engine, shared UI components. Platform foundation.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Vespar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CVG-VESPAR</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Analytics and reporting. Operational dashboards, client health scoring, SLA metrics, executive reporting.</w:t>
            </w:r>
          </w:p>
        </w:tc>
      </w:tr>
    </w:tbl>
    <w:p>
      <w:pPr>
        <w:pStyle w:val="Heading2"/>
      </w:pPr>
      <w:r>
        <w:rPr>
          <w:rFonts w:ascii="Arial" w:cs="Arial" w:eastAsia="Arial" w:hAnsi="Arial"/>
        </w:rPr>
        <w:t xml:space="preserve">2.2 Tier 2: Integration Layer (Connectors)</w:t>
      </w:r>
    </w:p>
    <w:p>
      <w:pPr>
        <w:spacing w:after="120"/>
      </w:pPr>
      <w:r>
        <w:rPr>
          <w:rFonts w:ascii="Arial" w:cs="Arial" w:eastAsia="Arial" w:hAnsi="Arial"/>
          <w:color w:val="1A1A1A"/>
          <w:sz w:val="22"/>
          <w:szCs w:val="22"/>
        </w:rPr>
        <w:t xml:space="preserve">These are the third-party systems Cavaridge connects to via the 25-connector architecture defined in Addendum A. For the channel GTM, the critical connector categories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Targets</w:t>
            </w:r>
          </w:p>
        </w:tc>
        <w:tc>
          <w:tcPr>
            <w:tcW w:type="dxa" w:w="37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 Value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RMM</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NinjaOne, Datto, CW Automate</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Alert ingestion, device inventory sync, automated remediation triggers</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PSA (External)</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ConnectWise Manage, HaloPSA, Autotask</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Ticket sync for partners who keep existing PSA; Cavaridge enriches tickets with AI context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Documentation</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IT Glue, Hudu</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Bidirectional doc sync. Brain captures, IT Glue/Hudu stores.</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Identity / MDM</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Entra ID, Intune, JumpCloud</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User/device inventory, compliance posture, conditional access monitoring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Backup / BCDR</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Datto, Veeam, Acronis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Backup status monitoring, recovery point alerting, BCDR compliance</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Security / EDR</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SentinelOne, Huntress, Guardz</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Threat intelligence feed, incident correlation, SOC integration, unified cyber posture scoring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Accounting</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QuickBooks, Xero</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Invoice sync from Midas, expense tracking, margin reporting</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Communication</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M365/Teams, Slack, Gmail</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Notification routing, ticket creation from messages, client comms</w:t>
            </w:r>
          </w:p>
        </w:tc>
      </w:tr>
    </w:tbl>
    <w:p>
      <w:pPr>
        <w:pStyle w:val="Heading2"/>
      </w:pPr>
      <w:r>
        <w:rPr>
          <w:rFonts w:ascii="Arial" w:cs="Arial" w:eastAsia="Arial" w:hAnsi="Arial"/>
        </w:rPr>
        <w:t xml:space="preserve">2.3 Tier 3: Partner Operations Layer</w:t>
      </w:r>
    </w:p>
    <w:p>
      <w:pPr>
        <w:spacing w:after="120"/>
      </w:pPr>
      <w:r>
        <w:rPr>
          <w:rFonts w:ascii="Arial" w:cs="Arial" w:eastAsia="Arial" w:hAnsi="Arial"/>
          <w:color w:val="1A1A1A"/>
          <w:sz w:val="22"/>
          <w:szCs w:val="22"/>
        </w:rPr>
        <w:t xml:space="preserve">This is the day-to-day operational surface a channel partner interacts with. It is composed of Cavaridge native modules configured for their tenant, presented through a unified dashboard.</w:t>
      </w:r>
    </w:p>
    <w:p>
      <w:pPr>
        <w:pStyle w:val="ListParagraph"/>
        <w:numPr>
          <w:ilvl w:val="0"/>
          <w:numId w:val="2"/>
        </w:numPr>
        <w:spacing w:after="60"/>
      </w:pPr>
      <w:r>
        <w:rPr>
          <w:rFonts w:ascii="Arial" w:cs="Arial" w:eastAsia="Arial" w:hAnsi="Arial"/>
          <w:b/>
          <w:bCs/>
          <w:color w:val="1A1A1A"/>
          <w:sz w:val="22"/>
          <w:szCs w:val="22"/>
        </w:rPr>
        <w:t xml:space="preserve">Unified Dashboard: </w:t>
      </w:r>
      <w:r>
        <w:rPr>
          <w:rFonts w:ascii="Arial" w:cs="Arial" w:eastAsia="Arial" w:hAnsi="Arial"/>
          <w:color w:val="1A1A1A"/>
          <w:sz w:val="22"/>
          <w:szCs w:val="22"/>
        </w:rPr>
        <w:t xml:space="preserve">Single-pane view combining RMM alerts (via connector), ticket queue (native PSA-lite or synced external PSA), client health scores (Vespar), and Ducky AI assistant.</w:t>
      </w:r>
    </w:p>
    <w:p>
      <w:pPr>
        <w:pStyle w:val="ListParagraph"/>
        <w:numPr>
          <w:ilvl w:val="0"/>
          <w:numId w:val="2"/>
        </w:numPr>
        <w:spacing w:after="60"/>
      </w:pPr>
      <w:r>
        <w:rPr>
          <w:rFonts w:ascii="Arial" w:cs="Arial" w:eastAsia="Arial" w:hAnsi="Arial"/>
          <w:b/>
          <w:bCs/>
          <w:color w:val="1A1A1A"/>
          <w:sz w:val="22"/>
          <w:szCs w:val="22"/>
        </w:rPr>
        <w:t xml:space="preserve">Ticket Management: </w:t>
      </w:r>
      <w:r>
        <w:rPr>
          <w:rFonts w:ascii="Arial" w:cs="Arial" w:eastAsia="Arial" w:hAnsi="Arial"/>
          <w:color w:val="1A1A1A"/>
          <w:sz w:val="22"/>
          <w:szCs w:val="22"/>
        </w:rPr>
        <w:t xml:space="preserve">Native PSA-lite ticketing (Midas/Core) with SLA tracking, time entry, and escalation workflows. Optional sync to external PSA for partners in transition.</w:t>
      </w:r>
    </w:p>
    <w:p>
      <w:pPr>
        <w:pStyle w:val="ListParagraph"/>
        <w:numPr>
          <w:ilvl w:val="0"/>
          <w:numId w:val="2"/>
        </w:numPr>
        <w:spacing w:after="60"/>
      </w:pPr>
      <w:r>
        <w:rPr>
          <w:rFonts w:ascii="Arial" w:cs="Arial" w:eastAsia="Arial" w:hAnsi="Arial"/>
          <w:b/>
          <w:bCs/>
          <w:color w:val="1A1A1A"/>
          <w:sz w:val="22"/>
          <w:szCs w:val="22"/>
        </w:rPr>
        <w:t xml:space="preserve">Proposal Pipeline: </w:t>
      </w:r>
      <w:r>
        <w:rPr>
          <w:rFonts w:ascii="Arial" w:cs="Arial" w:eastAsia="Arial" w:hAnsi="Arial"/>
          <w:color w:val="1A1A1A"/>
          <w:sz w:val="22"/>
          <w:szCs w:val="22"/>
        </w:rPr>
        <w:t xml:space="preserve">Caelum-powered SoW generation with partner branding. Quote-to-close workflow with e-signature integration.</w:t>
      </w:r>
    </w:p>
    <w:p>
      <w:pPr>
        <w:pStyle w:val="ListParagraph"/>
        <w:numPr>
          <w:ilvl w:val="0"/>
          <w:numId w:val="2"/>
        </w:numPr>
        <w:spacing w:after="60"/>
      </w:pPr>
      <w:r>
        <w:rPr>
          <w:rFonts w:ascii="Arial" w:cs="Arial" w:eastAsia="Arial" w:hAnsi="Arial"/>
          <w:b/>
          <w:bCs/>
          <w:color w:val="1A1A1A"/>
          <w:sz w:val="22"/>
          <w:szCs w:val="22"/>
        </w:rPr>
        <w:t xml:space="preserve">Compliance Center: </w:t>
      </w:r>
      <w:r>
        <w:rPr>
          <w:rFonts w:ascii="Arial" w:cs="Arial" w:eastAsia="Arial" w:hAnsi="Arial"/>
          <w:color w:val="1A1A1A"/>
          <w:sz w:val="22"/>
          <w:szCs w:val="22"/>
        </w:rPr>
        <w:t xml:space="preserve">HIPAA + AEGIS modules providing automated compliance assessments, policy libraries, and audit-ready documentation per client.</w:t>
      </w:r>
    </w:p>
    <w:p>
      <w:pPr>
        <w:pStyle w:val="ListParagraph"/>
        <w:numPr>
          <w:ilvl w:val="0"/>
          <w:numId w:val="2"/>
        </w:numPr>
        <w:spacing w:after="60"/>
      </w:pPr>
      <w:r>
        <w:rPr>
          <w:rFonts w:ascii="Arial" w:cs="Arial" w:eastAsia="Arial" w:hAnsi="Arial"/>
          <w:b/>
          <w:bCs/>
          <w:color w:val="1A1A1A"/>
          <w:sz w:val="22"/>
          <w:szCs w:val="22"/>
        </w:rPr>
        <w:t xml:space="preserve">Knowledge Base: </w:t>
      </w:r>
      <w:r>
        <w:rPr>
          <w:rFonts w:ascii="Arial" w:cs="Arial" w:eastAsia="Arial" w:hAnsi="Arial"/>
          <w:color w:val="1A1A1A"/>
          <w:sz w:val="22"/>
          <w:szCs w:val="22"/>
        </w:rPr>
        <w:t xml:space="preserve">Brain-powered documentation with voice capture, automatic categorization, and search. Syncs to IT Glue/Hudu if connected.</w:t>
      </w:r>
    </w:p>
    <w:p>
      <w:pPr>
        <w:pStyle w:val="ListParagraph"/>
        <w:numPr>
          <w:ilvl w:val="0"/>
          <w:numId w:val="2"/>
        </w:numPr>
        <w:spacing w:after="60"/>
      </w:pPr>
      <w:r>
        <w:rPr>
          <w:rFonts w:ascii="Arial" w:cs="Arial" w:eastAsia="Arial" w:hAnsi="Arial"/>
          <w:b/>
          <w:bCs/>
          <w:color w:val="1A1A1A"/>
          <w:sz w:val="22"/>
          <w:szCs w:val="22"/>
        </w:rPr>
        <w:t xml:space="preserve">Billing &amp; Contracts: </w:t>
      </w:r>
      <w:r>
        <w:rPr>
          <w:rFonts w:ascii="Arial" w:cs="Arial" w:eastAsia="Arial" w:hAnsi="Arial"/>
          <w:color w:val="1A1A1A"/>
          <w:sz w:val="22"/>
          <w:szCs w:val="22"/>
        </w:rPr>
        <w:t xml:space="preserve">Midas handles recurring billing, contract lifecycle, and margin reporting. Syncs to QuickBooks/Xero.</w:t>
      </w:r>
    </w:p>
    <w:p>
      <w:pPr>
        <w:pStyle w:val="Heading2"/>
      </w:pPr>
      <w:r>
        <w:rPr>
          <w:rFonts w:ascii="Arial" w:cs="Arial" w:eastAsia="Arial" w:hAnsi="Arial"/>
        </w:rPr>
        <w:t xml:space="preserve">2.4 Tier 4: Client-Facing Layer</w:t>
      </w:r>
    </w:p>
    <w:p>
      <w:pPr>
        <w:spacing w:after="120"/>
      </w:pPr>
      <w:r>
        <w:rPr>
          <w:rFonts w:ascii="Arial" w:cs="Arial" w:eastAsia="Arial" w:hAnsi="Arial"/>
          <w:color w:val="1A1A1A"/>
          <w:sz w:val="22"/>
          <w:szCs w:val="22"/>
        </w:rPr>
        <w:t xml:space="preserve">This is what the partner’s end clients see. All client-facing surfaces are tenant-branded with the partner’s identity, with “Powered by Ducky AI” in the footer per Cavaridge brand standards.</w:t>
      </w:r>
    </w:p>
    <w:p>
      <w:pPr>
        <w:pStyle w:val="ListParagraph"/>
        <w:numPr>
          <w:ilvl w:val="0"/>
          <w:numId w:val="2"/>
        </w:numPr>
        <w:spacing w:after="60"/>
      </w:pPr>
      <w:r>
        <w:rPr>
          <w:rFonts w:ascii="Arial" w:cs="Arial" w:eastAsia="Arial" w:hAnsi="Arial"/>
          <w:b/>
          <w:bCs/>
          <w:color w:val="1A1A1A"/>
          <w:sz w:val="22"/>
          <w:szCs w:val="22"/>
        </w:rPr>
        <w:t xml:space="preserve">Client Portal (Astra): </w:t>
      </w:r>
      <w:r>
        <w:rPr>
          <w:rFonts w:ascii="Arial" w:cs="Arial" w:eastAsia="Arial" w:hAnsi="Arial"/>
          <w:color w:val="1A1A1A"/>
          <w:sz w:val="22"/>
          <w:szCs w:val="22"/>
        </w:rPr>
        <w:t xml:space="preserve">Self-service ticket submission, asset inventory view, SLA dashboard, knowledge base search, invoice/payment history.</w:t>
      </w:r>
    </w:p>
    <w:p>
      <w:pPr>
        <w:pStyle w:val="ListParagraph"/>
        <w:numPr>
          <w:ilvl w:val="0"/>
          <w:numId w:val="2"/>
        </w:numPr>
        <w:spacing w:after="60"/>
      </w:pPr>
      <w:r>
        <w:rPr>
          <w:rFonts w:ascii="Arial" w:cs="Arial" w:eastAsia="Arial" w:hAnsi="Arial"/>
          <w:b/>
          <w:bCs/>
          <w:color w:val="1A1A1A"/>
          <w:sz w:val="22"/>
          <w:szCs w:val="22"/>
        </w:rPr>
        <w:t xml:space="preserve">Ducky Chat Widget: </w:t>
      </w:r>
      <w:r>
        <w:rPr>
          <w:rFonts w:ascii="Arial" w:cs="Arial" w:eastAsia="Arial" w:hAnsi="Arial"/>
          <w:color w:val="1A1A1A"/>
          <w:sz w:val="22"/>
          <w:szCs w:val="22"/>
        </w:rPr>
        <w:t xml:space="preserve">Embeddable AI chat for client-facing support triage. Routes to ticket creation or live technician escalation.</w:t>
      </w:r>
    </w:p>
    <w:p>
      <w:pPr>
        <w:pStyle w:val="ListParagraph"/>
        <w:numPr>
          <w:ilvl w:val="0"/>
          <w:numId w:val="2"/>
        </w:numPr>
        <w:spacing w:after="60"/>
      </w:pPr>
      <w:r>
        <w:rPr>
          <w:rFonts w:ascii="Arial" w:cs="Arial" w:eastAsia="Arial" w:hAnsi="Arial"/>
          <w:b/>
          <w:bCs/>
          <w:color w:val="1A1A1A"/>
          <w:sz w:val="22"/>
          <w:szCs w:val="22"/>
        </w:rPr>
        <w:t xml:space="preserve">Compliance Reports: </w:t>
      </w:r>
      <w:r>
        <w:rPr>
          <w:rFonts w:ascii="Arial" w:cs="Arial" w:eastAsia="Arial" w:hAnsi="Arial"/>
          <w:color w:val="1A1A1A"/>
          <w:sz w:val="22"/>
          <w:szCs w:val="22"/>
        </w:rPr>
        <w:t xml:space="preserve">Client-facing compliance summaries generated by HIPAA/AEGIS modules. Branded PDF exports.</w:t>
      </w:r>
    </w:p>
    <w:p>
      <w:pPr>
        <w:pStyle w:val="ListParagraph"/>
        <w:numPr>
          <w:ilvl w:val="0"/>
          <w:numId w:val="2"/>
        </w:numPr>
        <w:spacing w:after="60"/>
      </w:pPr>
      <w:r>
        <w:rPr>
          <w:rFonts w:ascii="Arial" w:cs="Arial" w:eastAsia="Arial" w:hAnsi="Arial"/>
          <w:b/>
          <w:bCs/>
          <w:color w:val="1A1A1A"/>
          <w:sz w:val="22"/>
          <w:szCs w:val="22"/>
        </w:rPr>
        <w:t xml:space="preserve">Executive Reporting: </w:t>
      </w:r>
      <w:r>
        <w:rPr>
          <w:rFonts w:ascii="Arial" w:cs="Arial" w:eastAsia="Arial" w:hAnsi="Arial"/>
          <w:color w:val="1A1A1A"/>
          <w:sz w:val="22"/>
          <w:szCs w:val="22"/>
        </w:rPr>
        <w:t xml:space="preserve">Vespar-generated monthly/quarterly business reviews with client health metrics, SLA performance, and security posture.</w:t>
      </w:r>
    </w:p>
    <w:p>
      <w:r>
        <w:br w:type="page"/>
      </w:r>
    </w:p>
    <w:p>
      <w:pPr>
        <w:pStyle w:val="Heading1"/>
      </w:pPr>
      <w:r>
        <w:rPr>
          <w:rFonts w:ascii="Arial" w:cs="Arial" w:eastAsia="Arial" w:hAnsi="Arial"/>
        </w:rPr>
        <w:t xml:space="preserve">3. RMM/PSA Platform Comparison</w:t>
      </w:r>
    </w:p>
    <w:p>
      <w:pPr>
        <w:spacing w:after="120"/>
      </w:pPr>
      <w:r>
        <w:rPr>
          <w:rFonts w:ascii="Arial" w:cs="Arial" w:eastAsia="Arial" w:hAnsi="Arial"/>
          <w:color w:val="1A1A1A"/>
          <w:sz w:val="22"/>
          <w:szCs w:val="22"/>
        </w:rPr>
        <w:t xml:space="preserve">The following analysis evaluates four RMM/PSA platforms as integration targets for the Cavaridge channel play. The goal is not to replace these platforms but to determine which ones offer the best API surface, partner ecosystem alignment, and market penetration for our “bring your RMM” positioning.</w:t>
      </w:r>
    </w:p>
    <w:p>
      <w:pPr>
        <w:pStyle w:val="Heading2"/>
      </w:pPr>
      <w:r>
        <w:rPr>
          <w:rFonts w:ascii="Arial" w:cs="Arial" w:eastAsia="Arial" w:hAnsi="Arial"/>
        </w:rPr>
        <w:t xml:space="preserve">3.1 Comparative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194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NinjaOne</w:t>
            </w:r>
          </w:p>
        </w:tc>
        <w:tc>
          <w:tcPr>
            <w:tcW w:type="dxa" w:w="194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Atera</w:t>
            </w:r>
          </w:p>
        </w:tc>
        <w:tc>
          <w:tcPr>
            <w:tcW w:type="dxa" w:w="194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Syncro</w:t>
            </w:r>
          </w:p>
        </w:tc>
        <w:tc>
          <w:tcPr>
            <w:tcW w:type="dxa" w:w="194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HaloPSA</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Pricing Model</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Per-endpoint ($1.50–$3.75/mo)</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Per-tech ($129–$249/mo)</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Per-tech ($129–$179/mo)</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Per-agent ($35–$90/mo)</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RMM</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Best-in-class. Gartner Leader 2026.</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Good. All-in-one with RMM+PSA.</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Adequate. RMM dev has slowed.</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None native. Integrates CW/Datto/Ninja.</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PSA</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Basic ticketing. Not full PSA.</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Built-in PSA. Adequate.</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Built-in PSA. Strong for SMB.</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Best-in-class PSA. ITIL-aligned.</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API Quality</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Strong REST API. Well-documented.</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REST API. Growing capabilities.</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REST API. Adequate coverage.</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Full REST API. Highly extensible.</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AI Capabilities</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Moderate. Scripting + automation.</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AI Copilot (paid add-on). Auto-triage.</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AI tools. Basic automation.</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AI-powered ticketing. Growing.</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Target MSP Size</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Mid to large (500+ endpoints)</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Small to mid (solo to 10 techs)</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Small to mid (1–15 techs)</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Mid to large (10+ techs)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Market Share</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High and growing rapidly.</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13K+ customers. Strong.</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Thousands. SMB focused.</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Growing. UK origin, global.</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M365 Mgmt</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Basic. Improving.</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Strong. XMM unifies M365.</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Via integrations.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Security Certs</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FedRAMP, SOC 2, ISO 27001</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SOC 2, encryption at rest/transit</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SOC 2</w:t>
            </w:r>
          </w:p>
        </w:tc>
        <w:tc>
          <w:tcPr>
            <w:tcW w:type="dxa" w:w="19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SOC 2, ISO 27001, on-prem option</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Integration Priority</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CRITICAL — Primary target</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HIGH — Large install base</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MEDIUM — SMB overlap</w:t>
            </w:r>
          </w:p>
        </w:tc>
        <w:tc>
          <w:tcPr>
            <w:tcW w:type="dxa" w:w="19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HIGH — PSA complement</w:t>
            </w:r>
          </w:p>
        </w:tc>
      </w:tr>
    </w:tbl>
    <w:p>
      <w:pPr>
        <w:pStyle w:val="Heading2"/>
      </w:pPr>
      <w:r>
        <w:rPr>
          <w:rFonts w:ascii="Arial" w:cs="Arial" w:eastAsia="Arial" w:hAnsi="Arial"/>
        </w:rPr>
        <w:t xml:space="preserve">3.2 Integration Strategy by Platform</w:t>
      </w:r>
    </w:p>
    <w:p>
      <w:pPr>
        <w:spacing w:before="160" w:after="80"/>
      </w:pPr>
      <w:r>
        <w:rPr>
          <w:rFonts w:ascii="Arial" w:cs="Arial" w:eastAsia="Arial" w:hAnsi="Arial"/>
          <w:b/>
          <w:bCs/>
          <w:color w:val="2E5090"/>
          <w:sz w:val="22"/>
          <w:szCs w:val="22"/>
        </w:rPr>
        <w:t xml:space="preserve">NinjaOne — Primary Integration Target</w:t>
      </w:r>
    </w:p>
    <w:p>
      <w:pPr>
        <w:spacing w:after="120"/>
      </w:pPr>
      <w:r>
        <w:rPr>
          <w:rFonts w:ascii="Arial" w:cs="Arial" w:eastAsia="Arial" w:hAnsi="Arial"/>
          <w:color w:val="1A1A1A"/>
          <w:sz w:val="22"/>
          <w:szCs w:val="22"/>
        </w:rPr>
        <w:t xml:space="preserve">NinjaOne is the strongest RMM in the market and the most natural complement to Cavaridge. Their per-endpoint pricing means partners are already paying for device management; Cavaridge adds the intelligence, compliance, and operational layers NinjaOne lacks. Key integration points: device inventory sync via REST API, alert webhook ingestion into Spaniel for AI-powered triage, patch compliance data feeding into AEGIS security posture scoring, and bidirectional ticketing between NinjaOne’s basic PSA and Cavaridge’s PSA-lite. NinjaOne’s FedRAMP and SOC 2 certifications align with Cavaridge’s compliance-first positioning.</w:t>
      </w:r>
    </w:p>
    <w:p>
      <w:pPr>
        <w:spacing w:before="160" w:after="80"/>
      </w:pPr>
      <w:r>
        <w:rPr>
          <w:rFonts w:ascii="Arial" w:cs="Arial" w:eastAsia="Arial" w:hAnsi="Arial"/>
          <w:b/>
          <w:bCs/>
          <w:color w:val="2E5090"/>
          <w:sz w:val="22"/>
          <w:szCs w:val="22"/>
        </w:rPr>
        <w:t xml:space="preserve">Atera — High-Priority SMB Channel</w:t>
      </w:r>
    </w:p>
    <w:p>
      <w:pPr>
        <w:spacing w:after="120"/>
      </w:pPr>
      <w:r>
        <w:rPr>
          <w:rFonts w:ascii="Arial" w:cs="Arial" w:eastAsia="Arial" w:hAnsi="Arial"/>
          <w:color w:val="1A1A1A"/>
          <w:sz w:val="22"/>
          <w:szCs w:val="22"/>
        </w:rPr>
        <w:t xml:space="preserve">Atera’s per-technician pricing and all-in-one positioning makes it popular with smaller MSPs who are exactly the profile for a Cavalier Partners channel partner: resource-constrained operators who need more capability without more headcount. The integration strategy here is overlay rather than replacement — Cavaridge adds compliance depth, AI agents, and vertical specialization that Atera’s generic platform cannot provide. Atera’s AI Copilot is now a paid add-on, creating an opening for Ducky as a more capable, included alternative.</w:t>
      </w:r>
    </w:p>
    <w:p>
      <w:pPr>
        <w:spacing w:before="160" w:after="80"/>
      </w:pPr>
      <w:r>
        <w:rPr>
          <w:rFonts w:ascii="Arial" w:cs="Arial" w:eastAsia="Arial" w:hAnsi="Arial"/>
          <w:b/>
          <w:bCs/>
          <w:color w:val="2E5090"/>
          <w:sz w:val="22"/>
          <w:szCs w:val="22"/>
        </w:rPr>
        <w:t xml:space="preserve">Syncro — Medium-Priority M365 Play</w:t>
      </w:r>
    </w:p>
    <w:p>
      <w:pPr>
        <w:spacing w:after="120"/>
      </w:pPr>
      <w:r>
        <w:rPr>
          <w:rFonts w:ascii="Arial" w:cs="Arial" w:eastAsia="Arial" w:hAnsi="Arial"/>
          <w:color w:val="1A1A1A"/>
          <w:sz w:val="22"/>
          <w:szCs w:val="22"/>
        </w:rPr>
        <w:t xml:space="preserve">Syncro’s differentiation is its unified RMM + PSA + M365 governance (XMM). For partners already on Syncro, the integration value is in compliance automation and AI capabilities that Syncro lacks. The M365 management overlap with Cavaridge’s Entra ID/Intune connector is worth monitoring — Syncro’s approach may be sufficient for some partners, reducing the value of Cavaridge’s M365 connector for this segment. RMM development has slowed at Syncro, which is a risk factor for long-term alignment.</w:t>
      </w:r>
    </w:p>
    <w:p>
      <w:pPr>
        <w:spacing w:before="160" w:after="80"/>
      </w:pPr>
      <w:r>
        <w:rPr>
          <w:rFonts w:ascii="Arial" w:cs="Arial" w:eastAsia="Arial" w:hAnsi="Arial"/>
          <w:b/>
          <w:bCs/>
          <w:color w:val="2E5090"/>
          <w:sz w:val="22"/>
          <w:szCs w:val="22"/>
        </w:rPr>
        <w:t xml:space="preserve">HaloPSA — High-Priority PSA Complement</w:t>
      </w:r>
    </w:p>
    <w:p>
      <w:pPr>
        <w:spacing w:after="120"/>
      </w:pPr>
      <w:r>
        <w:rPr>
          <w:rFonts w:ascii="Arial" w:cs="Arial" w:eastAsia="Arial" w:hAnsi="Arial"/>
          <w:color w:val="1A1A1A"/>
          <w:sz w:val="22"/>
          <w:szCs w:val="22"/>
        </w:rPr>
        <w:t xml:space="preserve">HaloPSA is a pure PSA play with deep ITIL alignment and the most comprehensive ticketing/billing/project management in the comparison set. It does not include RMM, which means partners on HaloPSA typically also run NinjaOne, Datto, or CW Automate. This is the ideal configuration for Cavaridge: the partner brings HaloPSA for PSA depth and NinjaOne for RMM, and Cavaridge layers intelligence and compliance on top. For partners on HaloPSA, the native PSA-lite module becomes less critical, but the AI, compliance, and knowledge management modules remain highly differentiated.</w:t>
      </w:r>
    </w:p>
    <w:p>
      <w:pPr>
        <w:spacing w:before="160" w:after="80"/>
      </w:pPr>
      <w:r>
        <w:rPr>
          <w:rFonts w:ascii="Arial" w:cs="Arial" w:eastAsia="Arial" w:hAnsi="Arial"/>
          <w:b/>
          <w:bCs/>
          <w:color w:val="2E5090"/>
          <w:sz w:val="22"/>
          <w:szCs w:val="22"/>
        </w:rPr>
        <w:t xml:space="preserve">Guardz — High-Priority Security Layer</w:t>
      </w:r>
    </w:p>
    <w:p>
      <w:pPr>
        <w:spacing w:after="120"/>
      </w:pPr>
      <w:r>
        <w:rPr>
          <w:rFonts w:ascii="Arial" w:cs="Arial" w:eastAsia="Arial" w:hAnsi="Arial"/>
          <w:color w:val="1A1A1A"/>
          <w:sz w:val="22"/>
          <w:szCs w:val="22"/>
        </w:rPr>
        <w:t xml:space="preserve">Guardz is a unified cybersecurity platform purpose-built for MSPs that consolidates identity threat detection (ITDR), endpoint security with embedded SentinelOne EDR, email protection, phishing simulation, security awareness training, dark web monitoring, and external footprint scanning into a single multi-tenant pane of glass. Their Ultimate tier includes HIPAA compliance and 24/7 MDR coverage, which directly complements Cavaridge’s AEGIS and HIPAA modules. The integration strategy is to ingest Guardz security posture scores, threat detections, and compliance data into AEGIS for a unified risk view across all client environments. Spaniel correlates Guardz alerts with RMM device data for AI-powered incident response recommendations. Additionally, Guardz’s built-in prospecting reports pair naturally with Caelum’s SoW generation for a “scan → propose → close” sales pipeline for channel partners. Note: Guardz API availability is currently limited; initial connector development may require webhook or partner integration models rather than full REST API access.</w:t>
      </w:r>
    </w:p>
    <w:p>
      <w:pPr>
        <w:pStyle w:val="Heading2"/>
      </w:pPr>
      <w:r>
        <w:rPr>
          <w:rFonts w:ascii="Arial" w:cs="Arial" w:eastAsia="Arial" w:hAnsi="Arial"/>
        </w:rPr>
        <w:t xml:space="preserve">3.3 Integration Priority Matrix</w:t>
      </w:r>
    </w:p>
    <w:p>
      <w:pPr>
        <w:spacing w:after="120"/>
      </w:pPr>
      <w:r>
        <w:rPr>
          <w:rFonts w:ascii="Arial" w:cs="Arial" w:eastAsia="Arial" w:hAnsi="Arial"/>
          <w:color w:val="1A1A1A"/>
          <w:sz w:val="22"/>
          <w:szCs w:val="22"/>
        </w:rPr>
        <w:t xml:space="preserve">Based on market penetration, API quality, partner profile alignment, and strategic value, the recommended connector build order for the channel GTM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5360"/>
      </w:tblGrid>
      <w:tr>
        <w:tc>
          <w:tcPr>
            <w:tcW w:type="dxa" w:w="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53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NinjaOne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Phase 1 (Q2 2026)</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Best RMM API, largest growth trajectory, FedRAMP alignment, perfect complement to Cavaridge stack.</w:t>
            </w:r>
          </w:p>
        </w:tc>
      </w:tr>
      <w:tr>
        <w:tc>
          <w:tcPr>
            <w:tcW w:type="dxa" w:w="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HaloPSA</w:t>
            </w:r>
          </w:p>
        </w:tc>
        <w:tc>
          <w:tcPr>
            <w:tcW w:type="dxa" w:w="1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Phase 1 (Q2 2026)</w:t>
            </w:r>
          </w:p>
        </w:tc>
        <w:tc>
          <w:tcPr>
            <w:tcW w:type="dxa" w:w="5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Best PSA API, partners using Halo+Ninja are ideal early adopters. Ticket sync validates our PSA-lite positioning.</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Atera</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Phase 2 (Q3 2026)</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Large SMB install base, per-tech pricing aligns with channel economics, AI Copilot gap creates opportunity.</w:t>
            </w:r>
          </w:p>
        </w:tc>
      </w:tr>
      <w:tr>
        <w:tc>
          <w:tcPr>
            <w:tcW w:type="dxa" w:w="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Syncro</w:t>
            </w:r>
          </w:p>
        </w:tc>
        <w:tc>
          <w:tcPr>
            <w:tcW w:type="dxa" w:w="1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Phase 2 (Q3 2026)</w:t>
            </w:r>
          </w:p>
        </w:tc>
        <w:tc>
          <w:tcPr>
            <w:tcW w:type="dxa" w:w="5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M365 governance overlap requires careful positioning. Strong for SMB partners already committed to Syncro.</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Guardz</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Phase 2 (Q3 2026)</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MSP-native unified security platform. Feeds posture scores into AEGIS. HIPAA/MDR complement. Prospecting reports pair with Caelum.</w:t>
            </w:r>
          </w:p>
        </w:tc>
      </w:tr>
      <w:tr>
        <w:tc>
          <w:tcPr>
            <w:tcW w:type="dxa" w:w="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CW Automate</w:t>
            </w:r>
          </w:p>
        </w:tc>
        <w:tc>
          <w:tcPr>
            <w:tcW w:type="dxa" w:w="1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Phase 3 (Q4 2026)</w:t>
            </w:r>
          </w:p>
        </w:tc>
        <w:tc>
          <w:tcPr>
            <w:tcW w:type="dxa" w:w="5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Legacy install base. Many mid-market MSPs still on ConnectWise stack. High value but complex API.</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7</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Datto RMM</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Phase 3 (Q4 2026)</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Kaseya ecosystem. Important for channel reach but API access may be restricted post-acquisition.</w:t>
            </w:r>
          </w:p>
        </w:tc>
      </w:tr>
    </w:tbl>
    <w:p>
      <w:r>
        <w:br w:type="page"/>
      </w:r>
    </w:p>
    <w:p>
      <w:pPr>
        <w:pStyle w:val="Heading1"/>
      </w:pPr>
      <w:r>
        <w:rPr>
          <w:rFonts w:ascii="Arial" w:cs="Arial" w:eastAsia="Arial" w:hAnsi="Arial"/>
        </w:rPr>
        <w:t xml:space="preserve">4. Cavaridge Cavalier Partners GTM Architecture</w:t>
      </w:r>
    </w:p>
    <w:p>
      <w:pPr>
        <w:pStyle w:val="Heading2"/>
      </w:pPr>
      <w:r>
        <w:rPr>
          <w:rFonts w:ascii="Arial" w:cs="Arial" w:eastAsia="Arial" w:hAnsi="Arial"/>
        </w:rPr>
        <w:t xml:space="preserve">4.1 Positioning Statement</w:t>
      </w:r>
    </w:p>
    <w:p>
      <w:pPr>
        <w:spacing w:after="120"/>
      </w:pPr>
      <w:r>
        <w:rPr>
          <w:rFonts w:ascii="Arial" w:cs="Arial" w:eastAsia="Arial" w:hAnsi="Arial"/>
          <w:color w:val="1A1A1A"/>
          <w:sz w:val="22"/>
          <w:szCs w:val="22"/>
        </w:rPr>
        <w:t xml:space="preserve">Cavaridge Cavalier Partners is the AI-native channel platform for MSPs who want to deliver compliance-first, intelligence-driven managed services without replacing their existing RMM. Cavalier Partners provides the intelligence layer, compliance automation, client experience, and operational tools that transform a break-fix or basic managed services practice into a high-margin, vertically differentiated operation.</w:t>
      </w:r>
    </w:p>
    <w:p>
      <w:pPr>
        <w:pStyle w:val="Heading2"/>
      </w:pPr>
      <w:r>
        <w:rPr>
          <w:rFonts w:ascii="Arial" w:cs="Arial" w:eastAsia="Arial" w:hAnsi="Arial"/>
        </w:rPr>
        <w:t xml:space="preserve">4.2 Target Partner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w:t>
            </w:r>
          </w:p>
        </w:tc>
        <w:tc>
          <w:tcPr>
            <w:tcW w:type="dxa" w:w="368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68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Proposition</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Solo/Small MSP</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1–5 techs, 50–500 endpoints. Using Atera or Syncro. Limited compliance capability. No M&amp;A practice.</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Instant compliance capability (HIPAA/PCI). AI-powered support triage reduces ticket volume. Branded client portal elevates their market position.</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Growth MSP</w:t>
            </w:r>
          </w:p>
        </w:tc>
        <w:tc>
          <w:tcPr>
            <w:tcW w:type="dxa" w:w="36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5–25 techs, 500–5000 endpoints. Using NinjaOne + HaloPSA or CW stack. Starting to specialize in verticals.</w:t>
            </w:r>
          </w:p>
        </w:tc>
        <w:tc>
          <w:tcPr>
            <w:tcW w:type="dxa" w:w="36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Deep vertical compliance (healthcare, legal, financial). M&amp;A due diligence as a premium service line. Automated SoW generation accelerates sales cycle.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IT Consultant / vCIO</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Independent consultant or fractional CIO serving 5–20 clients. No operational staff. Advisory-focused.</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Full operational platform without hiring. AI handles execution while consultant handles strategy. Brain captures client institutional knowledge.</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New Entrant</w:t>
            </w:r>
          </w:p>
        </w:tc>
        <w:tc>
          <w:tcPr>
            <w:tcW w:type="dxa" w:w="36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IT professional launching an MSP practice. Has technical skills but no operational infrastructure.</w:t>
            </w:r>
          </w:p>
        </w:tc>
        <w:tc>
          <w:tcPr>
            <w:tcW w:type="dxa" w:w="36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Complete turnkey operational platform. Cavalier Partners replaces the need to evaluate and assemble 6–10 separate tools. Ducky-guided onboarding.</w:t>
            </w:r>
          </w:p>
        </w:tc>
      </w:tr>
    </w:tbl>
    <w:p>
      <w:pPr>
        <w:pStyle w:val="Heading2"/>
      </w:pPr>
      <w:r>
        <w:rPr>
          <w:rFonts w:ascii="Arial" w:cs="Arial" w:eastAsia="Arial" w:hAnsi="Arial"/>
        </w:rPr>
        <w:t xml:space="preserve">4.3 Revenue Model</w:t>
      </w:r>
    </w:p>
    <w:p>
      <w:pPr>
        <w:spacing w:after="120"/>
      </w:pPr>
      <w:r>
        <w:rPr>
          <w:rFonts w:ascii="Arial" w:cs="Arial" w:eastAsia="Arial" w:hAnsi="Arial"/>
          <w:color w:val="1A1A1A"/>
          <w:sz w:val="22"/>
          <w:szCs w:val="22"/>
        </w:rPr>
        <w:t xml:space="preserve">Cavalier Partners revenue is structured in three streams aligned with partner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Stream</w:t>
            </w:r>
          </w:p>
        </w:tc>
        <w:tc>
          <w:tcPr>
            <w:tcW w:type="dxa" w:w="25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2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Range</w:t>
            </w:r>
          </w:p>
        </w:tc>
        <w:tc>
          <w:tcPr>
            <w:tcW w:type="dxa" w:w="24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Platform License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Monthly per-tech subscription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$149–$349/tech/mo</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Tiered by module access. Core, Professional, Enterprise.</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Per-Client Fee</w:t>
            </w:r>
          </w:p>
        </w:tc>
        <w:tc>
          <w:tcPr>
            <w:tcW w:type="dxa" w:w="2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Per managed client per month</w:t>
            </w:r>
          </w:p>
        </w:tc>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$25–$75/client/mo</w:t>
            </w:r>
          </w:p>
        </w:tc>
        <w:tc>
          <w:tcPr>
            <w:tcW w:type="dxa" w:w="24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Covers tenant provisioning, Ducky compute, compliance scanning.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Onboarding</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One-time setup + migration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$2,500–$15,000</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White-glove onboarding. Data migration. Connector setup. Branded portal config.</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Premium Modules</w:t>
            </w:r>
          </w:p>
        </w:tc>
        <w:tc>
          <w:tcPr>
            <w:tcW w:type="dxa" w:w="2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Add-on monthly licensing</w:t>
            </w:r>
          </w:p>
        </w:tc>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$99–$299/module/mo</w:t>
            </w:r>
          </w:p>
        </w:tc>
        <w:tc>
          <w:tcPr>
            <w:tcW w:type="dxa" w:w="24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Meridian (M&amp;A), advanced HIPAA, AEGIS security suite. Per-module upsell.</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Marketplace Rev Share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 of partner client revenue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3–8% rev share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Optional. For partners using Cavalier Partners fulfillment services or Cavaridge-managed SOC.</w:t>
            </w:r>
          </w:p>
        </w:tc>
      </w:tr>
    </w:tbl>
    <w:p>
      <w:pPr>
        <w:pStyle w:val="Heading2"/>
      </w:pPr>
      <w:r>
        <w:rPr>
          <w:rFonts w:ascii="Arial" w:cs="Arial" w:eastAsia="Arial" w:hAnsi="Arial"/>
        </w:rPr>
        <w:t xml:space="preserve">4.4 Partner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252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Starter</w:t>
            </w:r>
          </w:p>
        </w:tc>
        <w:tc>
          <w:tcPr>
            <w:tcW w:type="dxa" w:w="252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Professional</w:t>
            </w:r>
          </w:p>
        </w:tc>
        <w:tc>
          <w:tcPr>
            <w:tcW w:type="dxa" w:w="252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Core Platform</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Ducky, Spaniel, Core, Astra</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All Starter + Caelum, Midas, Vespar</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All Professional + Meridian, AEGIS, Brain</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Compliance</w:t>
            </w:r>
          </w:p>
        </w:tc>
        <w:tc>
          <w:tcPr>
            <w:tcW w:type="dxa" w:w="252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Basic HIPAA templates</w:t>
            </w:r>
          </w:p>
        </w:tc>
        <w:tc>
          <w:tcPr>
            <w:tcW w:type="dxa" w:w="252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Full HIPAA + PCI-DSS automation</w:t>
            </w:r>
          </w:p>
        </w:tc>
        <w:tc>
          <w:tcPr>
            <w:tcW w:type="dxa" w:w="252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HIPAA + PCI + SOC 2 + HITRUST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Connectors</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2 RMM + 3 standard</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4 RMM + 10 standard</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Unlimited connectors</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Branding</w:t>
            </w:r>
          </w:p>
        </w:tc>
        <w:tc>
          <w:tcPr>
            <w:tcW w:type="dxa" w:w="252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Co-branded (Powered by Ducky AI)</w:t>
            </w:r>
          </w:p>
        </w:tc>
        <w:tc>
          <w:tcPr>
            <w:tcW w:type="dxa" w:w="252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Partner-branded + Ducky footer</w:t>
            </w:r>
          </w:p>
        </w:tc>
        <w:tc>
          <w:tcPr>
            <w:tcW w:type="dxa" w:w="252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Full white-label option available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Support</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Community + docs</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Priority email + Slack channel</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Dedicated partner success manager</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Target Price</w:t>
            </w:r>
          </w:p>
        </w:tc>
        <w:tc>
          <w:tcPr>
            <w:tcW w:type="dxa" w:w="252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$149/tech/mo</w:t>
            </w:r>
          </w:p>
        </w:tc>
        <w:tc>
          <w:tcPr>
            <w:tcW w:type="dxa" w:w="252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$249/tech/mo</w:t>
            </w:r>
          </w:p>
        </w:tc>
        <w:tc>
          <w:tcPr>
            <w:tcW w:type="dxa" w:w="252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$349/tech/mo + custom</w:t>
            </w:r>
          </w:p>
        </w:tc>
      </w:tr>
    </w:tbl>
    <w:p>
      <w:pPr>
        <w:pStyle w:val="Heading2"/>
      </w:pPr>
      <w:r>
        <w:rPr>
          <w:rFonts w:ascii="Arial" w:cs="Arial" w:eastAsia="Arial" w:hAnsi="Arial"/>
        </w:rPr>
        <w:t xml:space="preserve">4.5 Go-to-Market Phases</w:t>
      </w:r>
    </w:p>
    <w:p>
      <w:pPr>
        <w:spacing w:before="160" w:after="80"/>
      </w:pPr>
      <w:r>
        <w:rPr>
          <w:rFonts w:ascii="Arial" w:cs="Arial" w:eastAsia="Arial" w:hAnsi="Arial"/>
          <w:b/>
          <w:bCs/>
          <w:color w:val="2E5090"/>
          <w:sz w:val="22"/>
          <w:szCs w:val="22"/>
        </w:rPr>
        <w:t xml:space="preserve">Phase 1: Foundation (Q2 2026)</w:t>
      </w:r>
    </w:p>
    <w:p>
      <w:pPr>
        <w:pStyle w:val="ListParagraph"/>
        <w:numPr>
          <w:ilvl w:val="0"/>
          <w:numId w:val="2"/>
        </w:numPr>
        <w:spacing w:after="60"/>
      </w:pPr>
      <w:r>
        <w:rPr>
          <w:rFonts w:ascii="Arial" w:cs="Arial" w:eastAsia="Arial" w:hAnsi="Arial"/>
          <w:color w:val="1A1A1A"/>
          <w:sz w:val="22"/>
          <w:szCs w:val="22"/>
        </w:rPr>
        <w:t xml:space="preserve">Complete Spaniel and Ducky agentic evolution per existing roadmap.</w:t>
      </w:r>
    </w:p>
    <w:p>
      <w:pPr>
        <w:pStyle w:val="ListParagraph"/>
        <w:numPr>
          <w:ilvl w:val="0"/>
          <w:numId w:val="2"/>
        </w:numPr>
        <w:spacing w:after="60"/>
      </w:pPr>
      <w:r>
        <w:rPr>
          <w:rFonts w:ascii="Arial" w:cs="Arial" w:eastAsia="Arial" w:hAnsi="Arial"/>
          <w:color w:val="1A1A1A"/>
          <w:sz w:val="22"/>
          <w:szCs w:val="22"/>
        </w:rPr>
        <w:t xml:space="preserve">Build NinjaOne and HaloPSA connectors (bidirectional API integration).</w:t>
      </w:r>
    </w:p>
    <w:p>
      <w:pPr>
        <w:pStyle w:val="ListParagraph"/>
        <w:numPr>
          <w:ilvl w:val="0"/>
          <w:numId w:val="2"/>
        </w:numPr>
        <w:spacing w:after="60"/>
      </w:pPr>
      <w:r>
        <w:rPr>
          <w:rFonts w:ascii="Arial" w:cs="Arial" w:eastAsia="Arial" w:hAnsi="Arial"/>
          <w:color w:val="1A1A1A"/>
          <w:sz w:val="22"/>
          <w:szCs w:val="22"/>
        </w:rPr>
        <w:t xml:space="preserve">Launch native PSA-lite module (Section 5) within Midas/Core.</w:t>
      </w:r>
    </w:p>
    <w:p>
      <w:pPr>
        <w:pStyle w:val="ListParagraph"/>
        <w:numPr>
          <w:ilvl w:val="0"/>
          <w:numId w:val="2"/>
        </w:numPr>
        <w:spacing w:after="60"/>
      </w:pPr>
      <w:r>
        <w:rPr>
          <w:rFonts w:ascii="Arial" w:cs="Arial" w:eastAsia="Arial" w:hAnsi="Arial"/>
          <w:color w:val="1A1A1A"/>
          <w:sz w:val="22"/>
          <w:szCs w:val="22"/>
        </w:rPr>
        <w:t xml:space="preserve">Recruit 3–5 design partners from existing DIT network and MSP contacts.</w:t>
      </w:r>
    </w:p>
    <w:p>
      <w:pPr>
        <w:pStyle w:val="ListParagraph"/>
        <w:numPr>
          <w:ilvl w:val="0"/>
          <w:numId w:val="2"/>
        </w:numPr>
        <w:spacing w:after="60"/>
      </w:pPr>
      <w:r>
        <w:rPr>
          <w:rFonts w:ascii="Arial" w:cs="Arial" w:eastAsia="Arial" w:hAnsi="Arial"/>
          <w:color w:val="1A1A1A"/>
          <w:sz w:val="22"/>
          <w:szCs w:val="22"/>
        </w:rPr>
        <w:t xml:space="preserve">Design partner onboarding flow powered by Ducky.</w:t>
      </w:r>
    </w:p>
    <w:p>
      <w:pPr>
        <w:spacing w:before="160" w:after="80"/>
      </w:pPr>
      <w:r>
        <w:rPr>
          <w:rFonts w:ascii="Arial" w:cs="Arial" w:eastAsia="Arial" w:hAnsi="Arial"/>
          <w:b/>
          <w:bCs/>
          <w:color w:val="2E5090"/>
          <w:sz w:val="22"/>
          <w:szCs w:val="22"/>
        </w:rPr>
        <w:t xml:space="preserve">Phase 2: Validation (Q3 2026)</w:t>
      </w:r>
    </w:p>
    <w:p>
      <w:pPr>
        <w:pStyle w:val="ListParagraph"/>
        <w:numPr>
          <w:ilvl w:val="0"/>
          <w:numId w:val="2"/>
        </w:numPr>
        <w:spacing w:after="60"/>
      </w:pPr>
      <w:r>
        <w:rPr>
          <w:rFonts w:ascii="Arial" w:cs="Arial" w:eastAsia="Arial" w:hAnsi="Arial"/>
          <w:color w:val="1A1A1A"/>
          <w:sz w:val="22"/>
          <w:szCs w:val="22"/>
        </w:rPr>
        <w:t xml:space="preserve">Onboard design partners. Collect feedback. Iterate on connector reliability and PSA-lite workflows.</w:t>
      </w:r>
    </w:p>
    <w:p>
      <w:pPr>
        <w:pStyle w:val="ListParagraph"/>
        <w:numPr>
          <w:ilvl w:val="0"/>
          <w:numId w:val="2"/>
        </w:numPr>
        <w:spacing w:after="60"/>
      </w:pPr>
      <w:r>
        <w:rPr>
          <w:rFonts w:ascii="Arial" w:cs="Arial" w:eastAsia="Arial" w:hAnsi="Arial"/>
          <w:color w:val="1A1A1A"/>
          <w:sz w:val="22"/>
          <w:szCs w:val="22"/>
        </w:rPr>
        <w:t xml:space="preserve">Build Atera and Syncro connectors.</w:t>
      </w:r>
    </w:p>
    <w:p>
      <w:pPr>
        <w:pStyle w:val="ListParagraph"/>
        <w:numPr>
          <w:ilvl w:val="0"/>
          <w:numId w:val="2"/>
        </w:numPr>
        <w:spacing w:after="60"/>
      </w:pPr>
      <w:r>
        <w:rPr>
          <w:rFonts w:ascii="Arial" w:cs="Arial" w:eastAsia="Arial" w:hAnsi="Arial"/>
          <w:color w:val="1A1A1A"/>
          <w:sz w:val="22"/>
          <w:szCs w:val="22"/>
        </w:rPr>
        <w:t xml:space="preserve">Launch partner portal with self-service provisioning, documentation, and training resources.</w:t>
      </w:r>
    </w:p>
    <w:p>
      <w:pPr>
        <w:pStyle w:val="ListParagraph"/>
        <w:numPr>
          <w:ilvl w:val="0"/>
          <w:numId w:val="2"/>
        </w:numPr>
        <w:spacing w:after="60"/>
      </w:pPr>
      <w:r>
        <w:rPr>
          <w:rFonts w:ascii="Arial" w:cs="Arial" w:eastAsia="Arial" w:hAnsi="Arial"/>
          <w:color w:val="1A1A1A"/>
          <w:sz w:val="22"/>
          <w:szCs w:val="22"/>
        </w:rPr>
        <w:t xml:space="preserve">Produce case studies and ROI metrics from design partner deployments.</w:t>
      </w:r>
    </w:p>
    <w:p>
      <w:pPr>
        <w:pStyle w:val="ListParagraph"/>
        <w:numPr>
          <w:ilvl w:val="0"/>
          <w:numId w:val="2"/>
        </w:numPr>
        <w:spacing w:after="60"/>
      </w:pPr>
      <w:r>
        <w:rPr>
          <w:rFonts w:ascii="Arial" w:cs="Arial" w:eastAsia="Arial" w:hAnsi="Arial"/>
          <w:color w:val="1A1A1A"/>
          <w:sz w:val="22"/>
          <w:szCs w:val="22"/>
        </w:rPr>
        <w:t xml:space="preserve">Begin compliance certification marketing (HIPAA, SOC 2 readiness).</w:t>
      </w:r>
    </w:p>
    <w:p>
      <w:pPr>
        <w:spacing w:before="160" w:after="80"/>
      </w:pPr>
      <w:r>
        <w:rPr>
          <w:rFonts w:ascii="Arial" w:cs="Arial" w:eastAsia="Arial" w:hAnsi="Arial"/>
          <w:b/>
          <w:bCs/>
          <w:color w:val="2E5090"/>
          <w:sz w:val="22"/>
          <w:szCs w:val="22"/>
        </w:rPr>
        <w:t xml:space="preserve">Phase 3: Scale (Q4 2026)</w:t>
      </w:r>
    </w:p>
    <w:p>
      <w:pPr>
        <w:pStyle w:val="ListParagraph"/>
        <w:numPr>
          <w:ilvl w:val="0"/>
          <w:numId w:val="2"/>
        </w:numPr>
        <w:spacing w:after="60"/>
      </w:pPr>
      <w:r>
        <w:rPr>
          <w:rFonts w:ascii="Arial" w:cs="Arial" w:eastAsia="Arial" w:hAnsi="Arial"/>
          <w:color w:val="1A1A1A"/>
          <w:sz w:val="22"/>
          <w:szCs w:val="22"/>
        </w:rPr>
        <w:t xml:space="preserve">Open channel program to broader market. Target 20–50 partners.</w:t>
      </w:r>
    </w:p>
    <w:p>
      <w:pPr>
        <w:pStyle w:val="ListParagraph"/>
        <w:numPr>
          <w:ilvl w:val="0"/>
          <w:numId w:val="2"/>
        </w:numPr>
        <w:spacing w:after="60"/>
      </w:pPr>
      <w:r>
        <w:rPr>
          <w:rFonts w:ascii="Arial" w:cs="Arial" w:eastAsia="Arial" w:hAnsi="Arial"/>
          <w:color w:val="1A1A1A"/>
          <w:sz w:val="22"/>
          <w:szCs w:val="22"/>
        </w:rPr>
        <w:t xml:space="preserve">Launch connector marketplace with tenant request/vote system per Addendum A.</w:t>
      </w:r>
    </w:p>
    <w:p>
      <w:pPr>
        <w:pStyle w:val="ListParagraph"/>
        <w:numPr>
          <w:ilvl w:val="0"/>
          <w:numId w:val="2"/>
        </w:numPr>
        <w:spacing w:after="60"/>
      </w:pPr>
      <w:r>
        <w:rPr>
          <w:rFonts w:ascii="Arial" w:cs="Arial" w:eastAsia="Arial" w:hAnsi="Arial"/>
          <w:color w:val="1A1A1A"/>
          <w:sz w:val="22"/>
          <w:szCs w:val="22"/>
        </w:rPr>
        <w:t xml:space="preserve">Build CW Automate and Datto RMM connectors.</w:t>
      </w:r>
    </w:p>
    <w:p>
      <w:pPr>
        <w:pStyle w:val="ListParagraph"/>
        <w:numPr>
          <w:ilvl w:val="0"/>
          <w:numId w:val="2"/>
        </w:numPr>
        <w:spacing w:after="60"/>
      </w:pPr>
      <w:r>
        <w:rPr>
          <w:rFonts w:ascii="Arial" w:cs="Arial" w:eastAsia="Arial" w:hAnsi="Arial"/>
          <w:color w:val="1A1A1A"/>
          <w:sz w:val="22"/>
          <w:szCs w:val="22"/>
        </w:rPr>
        <w:t xml:space="preserve">Introduce premium module upsells (Meridian M&amp;A, advanced AEGIS).</w:t>
      </w:r>
    </w:p>
    <w:p>
      <w:pPr>
        <w:pStyle w:val="ListParagraph"/>
        <w:numPr>
          <w:ilvl w:val="0"/>
          <w:numId w:val="2"/>
        </w:numPr>
        <w:spacing w:after="60"/>
      </w:pPr>
      <w:r>
        <w:rPr>
          <w:rFonts w:ascii="Arial" w:cs="Arial" w:eastAsia="Arial" w:hAnsi="Arial"/>
          <w:color w:val="1A1A1A"/>
          <w:sz w:val="22"/>
          <w:szCs w:val="22"/>
        </w:rPr>
        <w:t xml:space="preserve">Establish Cavaridge Partner Advisory Board for roadmap input.</w:t>
      </w:r>
    </w:p>
    <w:p>
      <w:pPr>
        <w:spacing w:before="160" w:after="80"/>
      </w:pPr>
      <w:r>
        <w:rPr>
          <w:rFonts w:ascii="Arial" w:cs="Arial" w:eastAsia="Arial" w:hAnsi="Arial"/>
          <w:b/>
          <w:bCs/>
          <w:color w:val="2E5090"/>
          <w:sz w:val="22"/>
          <w:szCs w:val="22"/>
        </w:rPr>
        <w:t xml:space="preserve">Phase 4: Expansion (2027)</w:t>
      </w:r>
    </w:p>
    <w:p>
      <w:pPr>
        <w:pStyle w:val="ListParagraph"/>
        <w:numPr>
          <w:ilvl w:val="0"/>
          <w:numId w:val="2"/>
        </w:numPr>
        <w:spacing w:after="60"/>
      </w:pPr>
      <w:r>
        <w:rPr>
          <w:rFonts w:ascii="Arial" w:cs="Arial" w:eastAsia="Arial" w:hAnsi="Arial"/>
          <w:color w:val="1A1A1A"/>
          <w:sz w:val="22"/>
          <w:szCs w:val="22"/>
        </w:rPr>
        <w:t xml:space="preserve">Evaluate native RMM-lite capabilities for partners who want full platform consolidation.</w:t>
      </w:r>
    </w:p>
    <w:p>
      <w:pPr>
        <w:pStyle w:val="ListParagraph"/>
        <w:numPr>
          <w:ilvl w:val="0"/>
          <w:numId w:val="2"/>
        </w:numPr>
        <w:spacing w:after="60"/>
      </w:pPr>
      <w:r>
        <w:rPr>
          <w:rFonts w:ascii="Arial" w:cs="Arial" w:eastAsia="Arial" w:hAnsi="Arial"/>
          <w:color w:val="1A1A1A"/>
          <w:sz w:val="22"/>
          <w:szCs w:val="22"/>
        </w:rPr>
        <w:t xml:space="preserve">International expansion (UK, Australia — markets with strong MSP ecosystems).</w:t>
      </w:r>
    </w:p>
    <w:p>
      <w:pPr>
        <w:pStyle w:val="ListParagraph"/>
        <w:numPr>
          <w:ilvl w:val="0"/>
          <w:numId w:val="2"/>
        </w:numPr>
        <w:spacing w:after="60"/>
      </w:pPr>
      <w:r>
        <w:rPr>
          <w:rFonts w:ascii="Arial" w:cs="Arial" w:eastAsia="Arial" w:hAnsi="Arial"/>
          <w:color w:val="1A1A1A"/>
          <w:sz w:val="22"/>
          <w:szCs w:val="22"/>
        </w:rPr>
        <w:t xml:space="preserve">Launch Cavaridge Managed SOC as a premium fulfillment service for partners.</w:t>
      </w:r>
    </w:p>
    <w:p>
      <w:pPr>
        <w:pStyle w:val="ListParagraph"/>
        <w:numPr>
          <w:ilvl w:val="0"/>
          <w:numId w:val="2"/>
        </w:numPr>
        <w:spacing w:after="60"/>
      </w:pPr>
      <w:r>
        <w:rPr>
          <w:rFonts w:ascii="Arial" w:cs="Arial" w:eastAsia="Arial" w:hAnsi="Arial"/>
          <w:color w:val="1A1A1A"/>
          <w:sz w:val="22"/>
          <w:szCs w:val="22"/>
        </w:rPr>
        <w:t xml:space="preserve">Explore strategic partnerships or OEM agreements with RMM vendors.</w:t>
      </w:r>
    </w:p>
    <w:p>
      <w:r>
        <w:br w:type="page"/>
      </w:r>
    </w:p>
    <w:p>
      <w:pPr>
        <w:pStyle w:val="Heading1"/>
      </w:pPr>
      <w:r>
        <w:rPr>
          <w:rFonts w:ascii="Arial" w:cs="Arial" w:eastAsia="Arial" w:hAnsi="Arial"/>
        </w:rPr>
        <w:t xml:space="preserve">5. Native PSA-Lite Module Scope</w:t>
      </w:r>
    </w:p>
    <w:p>
      <w:pPr>
        <w:spacing w:after="120"/>
      </w:pPr>
      <w:r>
        <w:rPr>
          <w:rFonts w:ascii="Arial" w:cs="Arial" w:eastAsia="Arial" w:hAnsi="Arial"/>
          <w:color w:val="1A1A1A"/>
          <w:sz w:val="22"/>
          <w:szCs w:val="22"/>
        </w:rPr>
        <w:t xml:space="preserve">The Cavaridge PSA-lite module provides core professional services automation capabilities natively within the platform, eliminating the need for a separate PSA tool for partners at the Starter and Professional tiers. Partners at the Enterprise tier who already run HaloPSA or ConnectWise Manage can sync their external PSA via connectors while still benefiting from Cavaridge’s AI-enriched ticket intelligence.</w:t>
      </w:r>
    </w:p>
    <w:p>
      <w:pPr>
        <w:pStyle w:val="Heading2"/>
      </w:pPr>
      <w:r>
        <w:rPr>
          <w:rFonts w:ascii="Arial" w:cs="Arial" w:eastAsia="Arial" w:hAnsi="Arial"/>
        </w:rPr>
        <w:t xml:space="preserve">5.1 Architecture Placement</w:t>
      </w:r>
    </w:p>
    <w:p>
      <w:pPr>
        <w:spacing w:after="120"/>
      </w:pPr>
      <w:r>
        <w:rPr>
          <w:rFonts w:ascii="Arial" w:cs="Arial" w:eastAsia="Arial" w:hAnsi="Arial"/>
          <w:color w:val="1A1A1A"/>
          <w:sz w:val="22"/>
          <w:szCs w:val="22"/>
        </w:rPr>
        <w:t xml:space="preserve">PSA-lite is not a standalone app in the monorepo. It is a capability distributed across existing apps and a new shared package:</w:t>
      </w:r>
    </w:p>
    <w:p>
      <w:pPr>
        <w:pStyle w:val="ListParagraph"/>
        <w:numPr>
          <w:ilvl w:val="0"/>
          <w:numId w:val="2"/>
        </w:numPr>
        <w:spacing w:after="60"/>
      </w:pPr>
      <w:r>
        <w:rPr>
          <w:rFonts w:ascii="Arial" w:cs="Arial" w:eastAsia="Arial" w:hAnsi="Arial"/>
          <w:b/>
          <w:bCs/>
          <w:color w:val="1A1A1A"/>
          <w:sz w:val="22"/>
          <w:szCs w:val="22"/>
        </w:rPr>
        <w:t xml:space="preserve">packages/psa-core: </w:t>
      </w:r>
      <w:r>
        <w:rPr>
          <w:rFonts w:ascii="Arial" w:cs="Arial" w:eastAsia="Arial" w:hAnsi="Arial"/>
          <w:color w:val="1A1A1A"/>
          <w:sz w:val="22"/>
          <w:szCs w:val="22"/>
        </w:rPr>
        <w:t xml:space="preserve">Shared package containing ticket schema, SLA engine, time entry models, and contract lifecycle logic. Used by multiple apps.</w:t>
      </w:r>
    </w:p>
    <w:p>
      <w:pPr>
        <w:pStyle w:val="ListParagraph"/>
        <w:numPr>
          <w:ilvl w:val="0"/>
          <w:numId w:val="2"/>
        </w:numPr>
        <w:spacing w:after="60"/>
      </w:pPr>
      <w:r>
        <w:rPr>
          <w:rFonts w:ascii="Arial" w:cs="Arial" w:eastAsia="Arial" w:hAnsi="Arial"/>
          <w:b/>
          <w:bCs/>
          <w:color w:val="1A1A1A"/>
          <w:sz w:val="22"/>
          <w:szCs w:val="22"/>
        </w:rPr>
        <w:t xml:space="preserve">CVG-MIDAS (Billing): </w:t>
      </w:r>
      <w:r>
        <w:rPr>
          <w:rFonts w:ascii="Arial" w:cs="Arial" w:eastAsia="Arial" w:hAnsi="Arial"/>
          <w:color w:val="1A1A1A"/>
          <w:sz w:val="22"/>
          <w:szCs w:val="22"/>
        </w:rPr>
        <w:t xml:space="preserve">Absorbs contract management, recurring billing, invoice generation, and financial reporting. Already scoped for this.</w:t>
      </w:r>
    </w:p>
    <w:p>
      <w:pPr>
        <w:pStyle w:val="ListParagraph"/>
        <w:numPr>
          <w:ilvl w:val="0"/>
          <w:numId w:val="2"/>
        </w:numPr>
        <w:spacing w:after="60"/>
      </w:pPr>
      <w:r>
        <w:rPr>
          <w:rFonts w:ascii="Arial" w:cs="Arial" w:eastAsia="Arial" w:hAnsi="Arial"/>
          <w:b/>
          <w:bCs/>
          <w:color w:val="1A1A1A"/>
          <w:sz w:val="22"/>
          <w:szCs w:val="22"/>
        </w:rPr>
        <w:t xml:space="preserve">CVG-CORE (Ops Hub): </w:t>
      </w:r>
      <w:r>
        <w:rPr>
          <w:rFonts w:ascii="Arial" w:cs="Arial" w:eastAsia="Arial" w:hAnsi="Arial"/>
          <w:color w:val="1A1A1A"/>
          <w:sz w:val="22"/>
          <w:szCs w:val="22"/>
        </w:rPr>
        <w:t xml:space="preserve">Absorbs ticket queue UI, dispatch board, SLA dashboard, and technician workload view. Extends existing tenant management.</w:t>
      </w:r>
    </w:p>
    <w:p>
      <w:pPr>
        <w:pStyle w:val="ListParagraph"/>
        <w:numPr>
          <w:ilvl w:val="0"/>
          <w:numId w:val="2"/>
        </w:numPr>
        <w:spacing w:after="60"/>
      </w:pPr>
      <w:r>
        <w:rPr>
          <w:rFonts w:ascii="Arial" w:cs="Arial" w:eastAsia="Arial" w:hAnsi="Arial"/>
          <w:b/>
          <w:bCs/>
          <w:color w:val="1A1A1A"/>
          <w:sz w:val="22"/>
          <w:szCs w:val="22"/>
        </w:rPr>
        <w:t xml:space="preserve">CVG-ASTRA (Client Portal): </w:t>
      </w:r>
      <w:r>
        <w:rPr>
          <w:rFonts w:ascii="Arial" w:cs="Arial" w:eastAsia="Arial" w:hAnsi="Arial"/>
          <w:color w:val="1A1A1A"/>
          <w:sz w:val="22"/>
          <w:szCs w:val="22"/>
        </w:rPr>
        <w:t xml:space="preserve">Already scoped for ticket submission. Adds SLA visibility, ticket history, and approval workflows.</w:t>
      </w:r>
    </w:p>
    <w:p>
      <w:pPr>
        <w:pStyle w:val="ListParagraph"/>
        <w:numPr>
          <w:ilvl w:val="0"/>
          <w:numId w:val="2"/>
        </w:numPr>
        <w:spacing w:after="60"/>
      </w:pPr>
      <w:r>
        <w:rPr>
          <w:rFonts w:ascii="Arial" w:cs="Arial" w:eastAsia="Arial" w:hAnsi="Arial"/>
          <w:b/>
          <w:bCs/>
          <w:color w:val="1A1A1A"/>
          <w:sz w:val="22"/>
          <w:szCs w:val="22"/>
        </w:rPr>
        <w:t xml:space="preserve">CVG-AI / Spaniel: </w:t>
      </w:r>
      <w:r>
        <w:rPr>
          <w:rFonts w:ascii="Arial" w:cs="Arial" w:eastAsia="Arial" w:hAnsi="Arial"/>
          <w:color w:val="1A1A1A"/>
          <w:sz w:val="22"/>
          <w:szCs w:val="22"/>
        </w:rPr>
        <w:t xml:space="preserve">AI-powered ticket enrichment: auto-categorization, priority scoring, suggested resolution, similar ticket matching, and SLA breach prediction.</w:t>
      </w:r>
    </w:p>
    <w:p>
      <w:pPr>
        <w:pStyle w:val="Heading2"/>
      </w:pPr>
      <w:r>
        <w:rPr>
          <w:rFonts w:ascii="Arial" w:cs="Arial" w:eastAsia="Arial" w:hAnsi="Arial"/>
        </w:rPr>
        <w:t xml:space="preserve">5.2 Feature Scope: MVP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5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4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 App</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Ticket Management</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Create, assign, escalate, resolve tickets. Custom fields per tenant. Email-to-ticket ingestion.</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CVG-CORE + psa-core</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SLA Engine</w:t>
            </w:r>
          </w:p>
        </w:tc>
        <w:tc>
          <w:tcPr>
            <w:tcW w:type="dxa" w:w="4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Configurable SLA policies per contract tier. Response/resolution targets. Breach alerting. Escalation rules.</w:t>
            </w:r>
          </w:p>
        </w:tc>
        <w:tc>
          <w:tcPr>
            <w:tcW w:type="dxa" w:w="24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psa-core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Time Entry</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Manual and timer-based time tracking against tickets. Billable/non-billable classification. Approval workflows.</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psa-core + CVG-MIDAS</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Contract Management</w:t>
            </w:r>
          </w:p>
        </w:tc>
        <w:tc>
          <w:tcPr>
            <w:tcW w:type="dxa" w:w="4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Managed services agreements with service scope, SLA tiers, billing terms. Renewal tracking and alerts.</w:t>
            </w:r>
          </w:p>
        </w:tc>
        <w:tc>
          <w:tcPr>
            <w:tcW w:type="dxa" w:w="24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CVG-MIDAS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Dispatch Board</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Visual technician assignment. Drag-and-drop scheduling. Workload balancing. Calendar integration.</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CVG-CORE</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Client Portal Tickets</w:t>
            </w:r>
          </w:p>
        </w:tc>
        <w:tc>
          <w:tcPr>
            <w:tcW w:type="dxa" w:w="4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End-client ticket submission, status tracking, communication thread. Service catalog with request types.</w:t>
            </w:r>
          </w:p>
        </w:tc>
        <w:tc>
          <w:tcPr>
            <w:tcW w:type="dxa" w:w="24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CVG-ASTRA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Basic Invoicing</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Generate invoices from time entries and contract recurring charges. Export to QuickBooks/Xero via connector.</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CVG-MIDAS</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AI Ticket Enrichment</w:t>
            </w:r>
          </w:p>
        </w:tc>
        <w:tc>
          <w:tcPr>
            <w:tcW w:type="dxa" w:w="4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Auto-categorize, auto-prioritize, suggest resolution, match similar tickets, predict SLA breach risk.</w:t>
            </w:r>
          </w:p>
        </w:tc>
        <w:tc>
          <w:tcPr>
            <w:tcW w:type="dxa" w:w="24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CVG-AI (Spaniel)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Reporting</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Ticket volume, resolution time, SLA compliance, technician utilization, revenue per client.</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CVG-VESPAR</w:t>
            </w:r>
          </w:p>
        </w:tc>
      </w:tr>
    </w:tbl>
    <w:p>
      <w:pPr>
        <w:pStyle w:val="Heading2"/>
      </w:pPr>
      <w:r>
        <w:rPr>
          <w:rFonts w:ascii="Arial" w:cs="Arial" w:eastAsia="Arial" w:hAnsi="Arial"/>
        </w:rPr>
        <w:t xml:space="preserve">5.3 Feature Scope: Phase 2 (Post-MVP)</w:t>
      </w:r>
    </w:p>
    <w:p>
      <w:pPr>
        <w:pStyle w:val="ListParagraph"/>
        <w:numPr>
          <w:ilvl w:val="0"/>
          <w:numId w:val="2"/>
        </w:numPr>
        <w:spacing w:after="60"/>
      </w:pPr>
      <w:r>
        <w:rPr>
          <w:rFonts w:ascii="Arial" w:cs="Arial" w:eastAsia="Arial" w:hAnsi="Arial"/>
          <w:color w:val="1A1A1A"/>
          <w:sz w:val="22"/>
          <w:szCs w:val="22"/>
        </w:rPr>
        <w:t xml:space="preserve">Project management with task dependencies, milestones, and resource allocation.</w:t>
      </w:r>
    </w:p>
    <w:p>
      <w:pPr>
        <w:pStyle w:val="ListParagraph"/>
        <w:numPr>
          <w:ilvl w:val="0"/>
          <w:numId w:val="2"/>
        </w:numPr>
        <w:spacing w:after="60"/>
      </w:pPr>
      <w:r>
        <w:rPr>
          <w:rFonts w:ascii="Arial" w:cs="Arial" w:eastAsia="Arial" w:hAnsi="Arial"/>
          <w:color w:val="1A1A1A"/>
          <w:sz w:val="22"/>
          <w:szCs w:val="22"/>
        </w:rPr>
        <w:t xml:space="preserve">Advanced billing: prepaid hour blocks, overage tracking, tiered pricing models.</w:t>
      </w:r>
    </w:p>
    <w:p>
      <w:pPr>
        <w:pStyle w:val="ListParagraph"/>
        <w:numPr>
          <w:ilvl w:val="0"/>
          <w:numId w:val="2"/>
        </w:numPr>
        <w:spacing w:after="60"/>
      </w:pPr>
      <w:r>
        <w:rPr>
          <w:rFonts w:ascii="Arial" w:cs="Arial" w:eastAsia="Arial" w:hAnsi="Arial"/>
          <w:color w:val="1A1A1A"/>
          <w:sz w:val="22"/>
          <w:szCs w:val="22"/>
        </w:rPr>
        <w:t xml:space="preserve">Procurement tracking: hardware/software quotes, purchase orders, vendor management.</w:t>
      </w:r>
    </w:p>
    <w:p>
      <w:pPr>
        <w:pStyle w:val="ListParagraph"/>
        <w:numPr>
          <w:ilvl w:val="0"/>
          <w:numId w:val="2"/>
        </w:numPr>
        <w:spacing w:after="60"/>
      </w:pPr>
      <w:r>
        <w:rPr>
          <w:rFonts w:ascii="Arial" w:cs="Arial" w:eastAsia="Arial" w:hAnsi="Arial"/>
          <w:color w:val="1A1A1A"/>
          <w:sz w:val="22"/>
          <w:szCs w:val="22"/>
        </w:rPr>
        <w:t xml:space="preserve">QBR (Quarterly Business Review) automation: Vespar generates client-facing review decks from operational data.</w:t>
      </w:r>
    </w:p>
    <w:p>
      <w:pPr>
        <w:pStyle w:val="ListParagraph"/>
        <w:numPr>
          <w:ilvl w:val="0"/>
          <w:numId w:val="2"/>
        </w:numPr>
        <w:spacing w:after="60"/>
      </w:pPr>
      <w:r>
        <w:rPr>
          <w:rFonts w:ascii="Arial" w:cs="Arial" w:eastAsia="Arial" w:hAnsi="Arial"/>
          <w:color w:val="1A1A1A"/>
          <w:sz w:val="22"/>
          <w:szCs w:val="22"/>
        </w:rPr>
        <w:t xml:space="preserve">Change management: RFC workflows, CAB approval, implementation tracking.</w:t>
      </w:r>
    </w:p>
    <w:p>
      <w:pPr>
        <w:pStyle w:val="ListParagraph"/>
        <w:numPr>
          <w:ilvl w:val="0"/>
          <w:numId w:val="2"/>
        </w:numPr>
        <w:spacing w:after="60"/>
      </w:pPr>
      <w:r>
        <w:rPr>
          <w:rFonts w:ascii="Arial" w:cs="Arial" w:eastAsia="Arial" w:hAnsi="Arial"/>
          <w:color w:val="1A1A1A"/>
          <w:sz w:val="22"/>
          <w:szCs w:val="22"/>
        </w:rPr>
        <w:t xml:space="preserve">External PSA sync: bidirectional ticket/time/contract sync with HaloPSA and ConnectWise Manage.</w:t>
      </w:r>
    </w:p>
    <w:p>
      <w:pPr>
        <w:pStyle w:val="Heading2"/>
      </w:pPr>
      <w:r>
        <w:rPr>
          <w:rFonts w:ascii="Arial" w:cs="Arial" w:eastAsia="Arial" w:hAnsi="Arial"/>
        </w:rPr>
        <w:t xml:space="preserve">5.4 Data Model (psa-core)</w:t>
      </w:r>
    </w:p>
    <w:p>
      <w:pPr>
        <w:spacing w:after="120"/>
      </w:pPr>
      <w:r>
        <w:rPr>
          <w:rFonts w:ascii="Arial" w:cs="Arial" w:eastAsia="Arial" w:hAnsi="Arial"/>
          <w:color w:val="1A1A1A"/>
          <w:sz w:val="22"/>
          <w:szCs w:val="22"/>
        </w:rPr>
        <w:t xml:space="preserve">The psa-core package defines the following primary entities, all scoped to the Universal Tenant Model (Platform &gt; MSP &gt; Client &gt;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W w:type="dxa" w:w="4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Fields</w:t>
            </w:r>
          </w:p>
        </w:tc>
        <w:tc>
          <w:tcPr>
            <w:tcW w:type="dxa" w:w="25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Relations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ticket</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id, tenant_id, client_id, site_id, subject, description, status, priority, category, assigned_to, sla_policy_id, created_at, resolved_at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tenant, client, site, user, sla_policy, time_entries</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sla_policy</w:t>
            </w:r>
          </w:p>
        </w:tc>
        <w:tc>
          <w:tcPr>
            <w:tcW w:type="dxa" w:w="4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id, tenant_id, name, response_target_mins, resolution_target_mins, business_hours_id, escalation_rules (JSONB)</w:t>
            </w:r>
          </w:p>
        </w:tc>
        <w:tc>
          <w:tcPr>
            <w:tcW w:type="dxa" w:w="2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tenant, contracts, tickets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time_entry</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id, tenant_id, ticket_id, user_id, start_time, end_time, duration_mins, billable, rate_override, notes, approved_by</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tenant, ticket, user, invoice_line</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contract</w:t>
            </w:r>
          </w:p>
        </w:tc>
        <w:tc>
          <w:tcPr>
            <w:tcW w:type="dxa" w:w="4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id, tenant_id, client_id, name, type (managed/block/T&amp;M), start_date, end_date, monthly_amount, sla_policy_id, auto_renew, status</w:t>
            </w:r>
          </w:p>
        </w:tc>
        <w:tc>
          <w:tcPr>
            <w:tcW w:type="dxa" w:w="2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tenant, client, sla_policy, invoice_lines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invoice</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id, tenant_id, client_id, period_start, period_end, subtotal, tax, total, status (draft/sent/paid), external_id (QB/Xero sync)</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tenant, client, invoice_lines</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invoice_line</w:t>
            </w:r>
          </w:p>
        </w:tc>
        <w:tc>
          <w:tcPr>
            <w:tcW w:type="dxa" w:w="4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id, invoice_id, description, quantity, unit_price, amount, source_type (contract/time_entry/ad_hoc), source_id</w:t>
            </w:r>
          </w:p>
        </w:tc>
        <w:tc>
          <w:tcPr>
            <w:tcW w:type="dxa" w:w="2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invoice, contract or time_entry</w:t>
            </w:r>
          </w:p>
        </w:tc>
      </w:tr>
    </w:tbl>
    <w:p>
      <w:pPr>
        <w:spacing w:after="120"/>
      </w:pPr>
      <w:r>
        <w:rPr>
          <w:rFonts w:ascii="Arial" w:cs="Arial" w:eastAsia="Arial" w:hAnsi="Arial"/>
          <w:color w:val="1A1A1A"/>
          <w:sz w:val="22"/>
          <w:szCs w:val="22"/>
        </w:rPr>
        <w:t xml:space="preserve">All entities enforce Supabase RLS at the tenant level per Cavaridge’s Universal Tenant Model. The self-referencing tenants table in packages/auth/ ensures MSP partners can only access their own client data, and platform admins can access all tenants.</w:t>
      </w:r>
    </w:p>
    <w:p>
      <w:pPr>
        <w:pStyle w:val="Heading2"/>
      </w:pPr>
      <w:r>
        <w:rPr>
          <w:rFonts w:ascii="Arial" w:cs="Arial" w:eastAsia="Arial" w:hAnsi="Arial"/>
        </w:rPr>
        <w:t xml:space="preserve">5.5 Technical Implementation Notes</w:t>
      </w:r>
    </w:p>
    <w:p>
      <w:pPr>
        <w:pStyle w:val="ListParagraph"/>
        <w:numPr>
          <w:ilvl w:val="0"/>
          <w:numId w:val="2"/>
        </w:numPr>
        <w:spacing w:after="60"/>
      </w:pPr>
      <w:r>
        <w:rPr>
          <w:rFonts w:ascii="Arial" w:cs="Arial" w:eastAsia="Arial" w:hAnsi="Arial"/>
          <w:b/>
          <w:bCs/>
          <w:color w:val="1A1A1A"/>
          <w:sz w:val="22"/>
          <w:szCs w:val="22"/>
        </w:rPr>
        <w:t xml:space="preserve">Stack: </w:t>
      </w:r>
      <w:r>
        <w:rPr>
          <w:rFonts w:ascii="Arial" w:cs="Arial" w:eastAsia="Arial" w:hAnsi="Arial"/>
          <w:color w:val="1A1A1A"/>
          <w:sz w:val="22"/>
          <w:szCs w:val="22"/>
        </w:rPr>
        <w:t xml:space="preserve">Express 5 + TypeScript 5.6+ + Drizzle ORM + Supabase (PostgreSQL). Consistent with CVG-CORE-DEV-v2.0 standards.</w:t>
      </w:r>
    </w:p>
    <w:p>
      <w:pPr>
        <w:pStyle w:val="ListParagraph"/>
        <w:numPr>
          <w:ilvl w:val="0"/>
          <w:numId w:val="2"/>
        </w:numPr>
        <w:spacing w:after="60"/>
      </w:pPr>
      <w:r>
        <w:rPr>
          <w:rFonts w:ascii="Arial" w:cs="Arial" w:eastAsia="Arial" w:hAnsi="Arial"/>
          <w:b/>
          <w:bCs/>
          <w:color w:val="1A1A1A"/>
          <w:sz w:val="22"/>
          <w:szCs w:val="22"/>
        </w:rPr>
        <w:t xml:space="preserve">Real-time: </w:t>
      </w:r>
      <w:r>
        <w:rPr>
          <w:rFonts w:ascii="Arial" w:cs="Arial" w:eastAsia="Arial" w:hAnsi="Arial"/>
          <w:color w:val="1A1A1A"/>
          <w:sz w:val="22"/>
          <w:szCs w:val="22"/>
        </w:rPr>
        <w:t xml:space="preserve">Ticket updates via Supabase Realtime (WebSocket). SLA countdown timers computed client-side from server-provided deadline timestamps.</w:t>
      </w:r>
    </w:p>
    <w:p>
      <w:pPr>
        <w:pStyle w:val="ListParagraph"/>
        <w:numPr>
          <w:ilvl w:val="0"/>
          <w:numId w:val="2"/>
        </w:numPr>
        <w:spacing w:after="60"/>
      </w:pPr>
      <w:r>
        <w:rPr>
          <w:rFonts w:ascii="Arial" w:cs="Arial" w:eastAsia="Arial" w:hAnsi="Arial"/>
          <w:b/>
          <w:bCs/>
          <w:color w:val="1A1A1A"/>
          <w:sz w:val="22"/>
          <w:szCs w:val="22"/>
        </w:rPr>
        <w:t xml:space="preserve">Queue: </w:t>
      </w:r>
      <w:r>
        <w:rPr>
          <w:rFonts w:ascii="Arial" w:cs="Arial" w:eastAsia="Arial" w:hAnsi="Arial"/>
          <w:color w:val="1A1A1A"/>
          <w:sz w:val="22"/>
          <w:szCs w:val="22"/>
        </w:rPr>
        <w:t xml:space="preserve">SLA breach prediction and escalation rules processed via BullMQ + Redis. Job: check upcoming SLA breaches every 60 seconds.</w:t>
      </w:r>
    </w:p>
    <w:p>
      <w:pPr>
        <w:pStyle w:val="ListParagraph"/>
        <w:numPr>
          <w:ilvl w:val="0"/>
          <w:numId w:val="2"/>
        </w:numPr>
        <w:spacing w:after="60"/>
      </w:pPr>
      <w:r>
        <w:rPr>
          <w:rFonts w:ascii="Arial" w:cs="Arial" w:eastAsia="Arial" w:hAnsi="Arial"/>
          <w:b/>
          <w:bCs/>
          <w:color w:val="1A1A1A"/>
          <w:sz w:val="22"/>
          <w:szCs w:val="22"/>
        </w:rPr>
        <w:t xml:space="preserve">AI Pipeline: </w:t>
      </w:r>
      <w:r>
        <w:rPr>
          <w:rFonts w:ascii="Arial" w:cs="Arial" w:eastAsia="Arial" w:hAnsi="Arial"/>
          <w:color w:val="1A1A1A"/>
          <w:sz w:val="22"/>
          <w:szCs w:val="22"/>
        </w:rPr>
        <w:t xml:space="preserve">Ticket enrichment via Vercel AI SDK + LangGraph.js agent chain. Spaniel analyzes ticket content, device context (from RMM connector), and historical ticket data to produce categorization, priority score, and resolution suggestions.</w:t>
      </w:r>
    </w:p>
    <w:p>
      <w:pPr>
        <w:pStyle w:val="ListParagraph"/>
        <w:numPr>
          <w:ilvl w:val="0"/>
          <w:numId w:val="2"/>
        </w:numPr>
        <w:spacing w:after="60"/>
      </w:pPr>
      <w:r>
        <w:rPr>
          <w:rFonts w:ascii="Arial" w:cs="Arial" w:eastAsia="Arial" w:hAnsi="Arial"/>
          <w:b/>
          <w:bCs/>
          <w:color w:val="1A1A1A"/>
          <w:sz w:val="22"/>
          <w:szCs w:val="22"/>
        </w:rPr>
        <w:t xml:space="preserve">Email Ingestion: </w:t>
      </w:r>
      <w:r>
        <w:rPr>
          <w:rFonts w:ascii="Arial" w:cs="Arial" w:eastAsia="Arial" w:hAnsi="Arial"/>
          <w:color w:val="1A1A1A"/>
          <w:sz w:val="22"/>
          <w:szCs w:val="22"/>
        </w:rPr>
        <w:t xml:space="preserve">Inbound email-to-ticket via webhook from partner’s email provider (M365 Graph API or Gmail API). Parsed by Spaniel for auto-categorization.</w:t>
      </w:r>
    </w:p>
    <w:p>
      <w:pPr>
        <w:pStyle w:val="ListParagraph"/>
        <w:numPr>
          <w:ilvl w:val="0"/>
          <w:numId w:val="2"/>
        </w:numPr>
        <w:spacing w:after="60"/>
      </w:pPr>
      <w:r>
        <w:rPr>
          <w:rFonts w:ascii="Arial" w:cs="Arial" w:eastAsia="Arial" w:hAnsi="Arial"/>
          <w:b/>
          <w:bCs/>
          <w:color w:val="1A1A1A"/>
          <w:sz w:val="22"/>
          <w:szCs w:val="22"/>
        </w:rPr>
        <w:t xml:space="preserve">Observability: </w:t>
      </w:r>
      <w:r>
        <w:rPr>
          <w:rFonts w:ascii="Arial" w:cs="Arial" w:eastAsia="Arial" w:hAnsi="Arial"/>
          <w:color w:val="1A1A1A"/>
          <w:sz w:val="22"/>
          <w:szCs w:val="22"/>
        </w:rPr>
        <w:t xml:space="preserve">All LLM calls traced via Langfuse per existing Cavaridge standards.</w:t>
      </w:r>
    </w:p>
    <w:p>
      <w:r>
        <w:br w:type="page"/>
      </w:r>
    </w:p>
    <w:p>
      <w:pPr>
        <w:pStyle w:val="Heading1"/>
      </w:pPr>
      <w:r>
        <w:rPr>
          <w:rFonts w:ascii="Arial" w:cs="Arial" w:eastAsia="Arial" w:hAnsi="Arial"/>
        </w:rPr>
        <w:t xml:space="preserve">6. Competitive Differentiation vs. Turnkey Models</w:t>
      </w:r>
    </w:p>
    <w:p>
      <w:pPr>
        <w:spacing w:after="120"/>
      </w:pPr>
      <w:r>
        <w:rPr>
          <w:rFonts w:ascii="Arial" w:cs="Arial" w:eastAsia="Arial" w:hAnsi="Arial"/>
          <w:color w:val="1A1A1A"/>
          <w:sz w:val="22"/>
          <w:szCs w:val="22"/>
        </w:rPr>
        <w:t xml:space="preserve">The following comparison illustrates why Cavaridge Cavalier Partners is fundamentally different from turnkey AI agency licensing models like ScaleLogix: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348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Turnkey Models (ScaleLogix etc.)</w:t>
            </w:r>
          </w:p>
        </w:tc>
        <w:tc>
          <w:tcPr>
            <w:tcW w:type="dxa" w:w="348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Cavaridge Cavalier Partners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Core Technology</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White-labeled GHL/Vapi. Commodity chatbots and outreach automation.</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Proprietary AI agent stack (Ducky, Spaniel). Domain-specific compliance engines. Custom-built platform.</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IP Ownership</w:t>
            </w:r>
          </w:p>
        </w:tc>
        <w:tc>
          <w:tcPr>
            <w:tcW w:type="dxa" w:w="34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Licensed from provider. IP reverts on contract end.</w:t>
            </w:r>
          </w:p>
        </w:tc>
        <w:tc>
          <w:tcPr>
            <w:tcW w:type="dxa" w:w="34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Partner owns their client relationships and data. Cavaridge owns platform IP. Clear separation.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Vertical Depth</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Generic. Same chatbot for law firms and roofing companies.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Deep vertical compliance: HIPAA, PCI-DSS, SOC 2, HITRUST. Healthcare, legal, financial specialization.</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Technical Moat</w:t>
            </w:r>
          </w:p>
        </w:tc>
        <w:tc>
          <w:tcPr>
            <w:tcW w:type="dxa" w:w="34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None. Any developer can replicate in weeks.</w:t>
            </w:r>
          </w:p>
        </w:tc>
        <w:tc>
          <w:tcPr>
            <w:tcW w:type="dxa" w:w="34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12-app platform with multitenancy, 25 connectors, 12 domain agents, pgvector knowledge engine.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Partner Profile</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Passive investors with zero IT expertise.</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MSPs and IT professionals with operational expertise seeking scale and differentiation.</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Revenue Quality</w:t>
            </w:r>
          </w:p>
        </w:tc>
        <w:tc>
          <w:tcPr>
            <w:tcW w:type="dxa" w:w="34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Project-based setup fees. Client churn risk is high.</w:t>
            </w:r>
          </w:p>
        </w:tc>
        <w:tc>
          <w:tcPr>
            <w:tcW w:type="dxa" w:w="34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Recurring managed services contracts. Multi-year client relationships. Compliance lock-in.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1A1A1A"/>
                <w:sz w:val="20"/>
                <w:szCs w:val="20"/>
              </w:rPr>
              <w:t xml:space="preserve">Upfront Cost</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$27K–$75K licensing fee. High risk.</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$149–$349/tech/mo subscription. Low barrier. Scales with success.</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Exit Value</w:t>
            </w:r>
          </w:p>
        </w:tc>
        <w:tc>
          <w:tcPr>
            <w:tcW w:type="dxa" w:w="34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Limited. No proprietary technology. 1–3x revenue multiple.</w:t>
            </w:r>
          </w:p>
        </w:tc>
        <w:tc>
          <w:tcPr>
            <w:tcW w:type="dxa" w:w="34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High. Recurring revenue + compliance depth + AI differentiation = 5–10x+ EBITDA multiples for MSPs.</w:t>
            </w:r>
          </w:p>
        </w:tc>
      </w:tr>
    </w:tbl>
    <w:p>
      <w:r>
        <w:br w:type="page"/>
      </w:r>
    </w:p>
    <w:p>
      <w:pPr>
        <w:pStyle w:val="Heading1"/>
      </w:pPr>
      <w:r>
        <w:rPr>
          <w:rFonts w:ascii="Arial" w:cs="Arial" w:eastAsia="Arial" w:hAnsi="Arial"/>
        </w:rPr>
        <w:t xml:space="preserve">7. Recommended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2360"/>
      </w:tblGrid>
      <w:tr>
        <w:tc>
          <w:tcPr>
            <w:tcW w:type="dxa" w:w="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Item</w:t>
            </w:r>
          </w:p>
        </w:tc>
        <w:tc>
          <w:tcPr>
            <w:tcW w:type="dxa" w:w="2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Date</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Finalize PSA-lite data model and create psa-core package scaffold in monorepo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Benjamin / Claude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March 2026</w:t>
            </w:r>
          </w:p>
        </w:tc>
      </w:tr>
      <w:tr>
        <w:tc>
          <w:tcPr>
            <w:tcW w:type="dxa" w:w="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Begin NinjaOne REST API connector development (device sync + alert ingestion)</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Benjamin / Claude Code</w:t>
            </w:r>
          </w:p>
        </w:tc>
        <w:tc>
          <w:tcPr>
            <w:tcW w:type="dxa" w:w="2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Build ticket management UI in CVG-CORE with SLA engine from psa-core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Benjamin / Claude Code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Design Cavalier Partners portal wireframes and Ducky onboarding flow</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Benjamin</w:t>
            </w:r>
          </w:p>
        </w:tc>
        <w:tc>
          <w:tcPr>
            <w:tcW w:type="dxa" w:w="2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Identify and approach 3–5 design partners from DIT/MSP network</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Benjamin</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May 2026</w:t>
            </w:r>
          </w:p>
        </w:tc>
      </w:tr>
      <w:tr>
        <w:tc>
          <w:tcPr>
            <w:tcW w:type="dxa" w:w="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4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Begin HaloPSA API connector development (ticket + contract sync)</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Benjamin / Claude Code</w:t>
            </w:r>
          </w:p>
        </w:tc>
        <w:tc>
          <w:tcPr>
            <w:tcW w:type="dxa" w:w="2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May 2026</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7</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Draft Cavalier Partners agreement and pricing documentation for legal review</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Benjamin</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May 2026</w:t>
            </w:r>
          </w:p>
        </w:tc>
      </w:tr>
      <w:tr>
        <w:tc>
          <w:tcPr>
            <w:tcW w:type="dxa" w:w="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4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Launch Cavalier Partners design partner pilot with full Starter tier capabilities</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Benjamin</w:t>
            </w:r>
          </w:p>
        </w:tc>
        <w:tc>
          <w:tcPr>
            <w:tcW w:type="dxa" w:w="2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June 2026</w:t>
            </w:r>
          </w:p>
        </w:tc>
      </w:tr>
    </w:tbl>
    <w:p>
      <w:pPr>
        <w:spacing w:before="400" w:after="200"/>
      </w:pPr>
    </w:p>
    <w:p>
      <w:pPr>
        <w:jc w:val="center"/>
      </w:pPr>
      <w:r>
        <w:rPr>
          <w:rFonts w:ascii="Arial" w:cs="Arial" w:eastAsia="Arial" w:hAnsi="Arial"/>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rFonts w:ascii="Arial" w:cs="Arial" w:eastAsia="Arial" w:hAnsi="Arial"/>
        <w:color w:val="999999"/>
        <w:sz w:val="16"/>
        <w:szCs w:val="16"/>
      </w:rPr>
      <w:t xml:space="preserve">Cavaridge, LLC — Confidential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tabs>
        <w:tab w:val="right" w:pos="9026"/>
      </w:tabs>
    </w:pPr>
    <w:r>
      <w:rPr>
        <w:rFonts w:ascii="Arial" w:cs="Arial" w:eastAsia="Arial" w:hAnsi="Arial"/>
        <w:color w:val="999999"/>
        <w:sz w:val="16"/>
        <w:szCs w:val="16"/>
      </w:rPr>
      <w:t xml:space="preserve">Cavaridge Cavalier Partners — Channel Partner GTM Architecture	CVG-CAVALIER-GTM-v1.0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2026-03-15T20:16:16.166Z</dcterms:created>
  <dcterms:modified xsi:type="dcterms:W3CDTF">2026-03-15T20:16:16.167Z</dcterms:modified>
</cp:coreProperties>
</file>

<file path=docProps/custom.xml><?xml version="1.0" encoding="utf-8"?>
<Properties xmlns="http://schemas.openxmlformats.org/officeDocument/2006/custom-properties" xmlns:vt="http://schemas.openxmlformats.org/officeDocument/2006/docPropsVTypes"/>
</file>