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i w:val="0"/>
          <w:iCs w:val="0"/>
          <w:caps w:val="0"/>
          <w:color w:val="333333"/>
          <w:spacing w:val="8"/>
          <w:sz w:val="18"/>
          <w:szCs w:val="18"/>
          <w:shd w:val="clear" w:fill="FFFFFF"/>
        </w:rPr>
      </w:pPr>
      <w:r>
        <w:rPr>
          <w:i w:val="0"/>
          <w:iCs w:val="0"/>
          <w:caps w:val="0"/>
          <w:color w:val="333333"/>
          <w:spacing w:val="8"/>
          <w:sz w:val="18"/>
          <w:szCs w:val="18"/>
          <w:shd w:val="clear" w:fill="FFFFFF"/>
        </w:rPr>
        <w:t>无针乌贼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3861435" cy="2600960"/>
            <wp:effectExtent l="0" t="0" r="571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260096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i w:val="0"/>
          <w:iCs w:val="0"/>
          <w:caps w:val="0"/>
          <w:color w:val="333333"/>
          <w:spacing w:val="8"/>
          <w:sz w:val="18"/>
          <w:szCs w:val="18"/>
          <w:shd w:val="clear" w:fill="FFFFFF"/>
        </w:rPr>
        <w:t>金乌贼（图片引用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8"/>
          <w:sz w:val="18"/>
          <w:szCs w:val="18"/>
          <w:shd w:val="clear" w:fill="FFFFFF"/>
        </w:rPr>
        <w:t>中草药彩色图谱</w:t>
      </w:r>
      <w:r>
        <w:rPr>
          <w:i w:val="0"/>
          <w:iCs w:val="0"/>
          <w:caps w:val="0"/>
          <w:color w:val="333333"/>
          <w:spacing w:val="8"/>
          <w:sz w:val="18"/>
          <w:szCs w:val="18"/>
          <w:shd w:val="clear" w:fill="FFFFFF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3933190" cy="2592070"/>
            <wp:effectExtent l="0" t="0" r="10160" b="1778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59207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8"/>
          <w:sz w:val="18"/>
          <w:szCs w:val="18"/>
          <w:shd w:val="clear" w:fill="FFFFFF"/>
        </w:rPr>
        <w:t>海螵蛸（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8"/>
          <w:sz w:val="18"/>
          <w:szCs w:val="18"/>
          <w:shd w:val="clear" w:fill="FFFFFF"/>
        </w:rPr>
        <w:t>金乌贼</w:t>
      </w:r>
      <w:r>
        <w:rPr>
          <w:i w:val="0"/>
          <w:iCs w:val="0"/>
          <w:caps w:val="0"/>
          <w:color w:val="333333"/>
          <w:spacing w:val="8"/>
          <w:sz w:val="18"/>
          <w:szCs w:val="18"/>
          <w:shd w:val="clear" w:fill="FFFFFF"/>
        </w:rPr>
        <w:t>）（图片引用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8"/>
          <w:sz w:val="18"/>
          <w:szCs w:val="18"/>
          <w:shd w:val="clear" w:fill="FFFFFF"/>
        </w:rPr>
        <w:t>中草药彩色图谱</w:t>
      </w:r>
      <w:r>
        <w:rPr>
          <w:i w:val="0"/>
          <w:iCs w:val="0"/>
          <w:caps w:val="0"/>
          <w:color w:val="333333"/>
          <w:spacing w:val="8"/>
          <w:sz w:val="18"/>
          <w:szCs w:val="18"/>
          <w:shd w:val="clear" w:fill="FFFFFF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3987800" cy="2592070"/>
            <wp:effectExtent l="0" t="0" r="12700" b="1778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59207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18"/>
          <w:szCs w:val="18"/>
          <w:shd w:val="clear" w:fill="FFFFFF"/>
        </w:rPr>
        <w:t>海螵蛸（</w:t>
      </w:r>
      <w:r>
        <w:rPr>
          <w:i w:val="0"/>
          <w:iCs w:val="0"/>
          <w:caps w:val="0"/>
          <w:color w:val="333333"/>
          <w:spacing w:val="8"/>
          <w:sz w:val="18"/>
          <w:szCs w:val="18"/>
          <w:shd w:val="clear" w:fill="FFFFFF"/>
        </w:rPr>
        <w:t>金乌贼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18"/>
          <w:szCs w:val="18"/>
          <w:shd w:val="clear" w:fill="FFFFFF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3997325" cy="2592070"/>
            <wp:effectExtent l="0" t="0" r="3175" b="1778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59207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shd w:val="clear" w:fill="FFFFFF"/>
        </w:rPr>
        <w:drawing>
          <wp:inline distT="0" distB="0" distL="114300" distR="114300">
            <wp:extent cx="5222875" cy="756285"/>
            <wp:effectExtent l="0" t="0" r="15875" b="571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75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31"/>
          <w:szCs w:val="31"/>
          <w:shd w:val="clear" w:fill="FFFFFF"/>
        </w:rPr>
        <w:t>海螵蛸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shd w:val="clear" w:fill="FFFFFF"/>
        </w:rPr>
        <w:t>Hɑipiɑoxiɑo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shd w:val="clear" w:fill="FFFFFF"/>
        </w:rPr>
        <w:t>SEPIAE ENDOCONCHA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本品为乌贼科动物无针乌贼</w:t>
      </w:r>
      <w:r>
        <w:rPr>
          <w:rFonts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Sepiella maindroni de Rochebrune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或金乌贼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Sepia esculenta Hoyle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的干燥内壳。收集乌贼鱼的骨状内壳，洗净，干燥。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无针乌贼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呈扁长椭圆形，中间厚，边缘薄，长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9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14cm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，宽</w:t>
      </w:r>
      <w:bookmarkStart w:id="0" w:name="_GoBack"/>
      <w:bookmarkEnd w:id="0"/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2.5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3.5cm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，厚约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1.3cm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。背面有磁白色脊状隆起，两侧略显微红色，有不甚明显的细小疣点；腹面白色，自尾端到中部有细密波状横层纹；角质缘半透明，尾部较宽平，无骨针。体轻，质松，易折断，断面粉质，显疏松层纹。气微腥，味微咸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金乌贼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13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23cm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，宽约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6.5cm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。背面疣点明显，略呈层状排列；腹面的细密波状横层纹占全体大部分，中间有纵向浅槽；尾部角质缘渐宽，向腹面翘起，末端有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骨针，多已断落。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）本品粉末类白色。角质层碎块类四边形，表面具横裂纹和细密纵纹交织成的网状纹理，亦可见只有纵纹的碎块。石灰质碎块呈条形、正方形或不规则状，多具细条纹或分枝状蛇形笈道。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）取本品粉末，滴加稀盐酸，产生气泡。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重金属及有害元素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照铅、镉、砷、汞、铜测定法（通则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2321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原子吸收分光光度法或电感耦合等离子体质谱法）测定，铅不得过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5mg/kg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；镉不得过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5mg/kg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；砷不得过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10mg/kg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；汞不得过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0.2mg/kg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；铜不得过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20mg/kg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取本品细粉约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0.12g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，精密称定，置锥形瓶中，加稀盐酸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，沸水浴加热使溶解，加水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20ml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与甲基红指示液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滴，滴加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10%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氢氧化钾溶液至溶液显黄色，再继续多加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，加钙黄绿素指示剂少量，用乙二胺四醋酸二钠滴定液（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0.05mol/L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）滴定，至溶液的黄绿色荧光消失，并显橙色。每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乙二胺四醋酸二钠滴定液（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0.05mol/L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）相当于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5.004mg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碳酸钙（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CaCO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  <w:vertAlign w:val="subscript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本品含碳酸钙（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CaCO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  <w:vertAlign w:val="subscript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）不得少于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86.0%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8"/>
          <w:szCs w:val="28"/>
          <w:shd w:val="clear" w:fill="FFFFFF"/>
        </w:rPr>
        <w:t>饮片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【炮制】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除去杂质，洗净，干燥，砸成小块。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本品为不规则形或类方形小块，类白色或微黄色，气微腥，味微咸。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同药材。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【性味与归经】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咸、涩，温。归脾、肾经。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【功能与主治】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收敛止血，涩精止带，制酸止痛，收湿敛疮。用于吐血衄血，崩漏便血，遗精滑精，赤白带下，胃痛吞酸；外治损伤出血，湿疹湿疮，溃疡不敛。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【用法与用量】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 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10g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。外用适量，研末敷患处。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【贮藏】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置干燥处。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3ZWExY2RmN2RhNjIyZjMzOTZiOGIyODA2ZTEzNjQifQ=="/>
  </w:docVars>
  <w:rsids>
    <w:rsidRoot w:val="49EE730F"/>
    <w:rsid w:val="0A7E071B"/>
    <w:rsid w:val="49EE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862</Words>
  <Characters>1033</Characters>
  <Lines>0</Lines>
  <Paragraphs>0</Paragraphs>
  <TotalTime>1</TotalTime>
  <ScaleCrop>false</ScaleCrop>
  <LinksUpToDate>false</LinksUpToDate>
  <CharactersWithSpaces>1055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2022-07-21T09:54:00Z</dcterms:created>
  <dc:creator>Administrator</dc:creator>
  <cp:lastModifiedBy>路人</cp:lastModifiedBy>
  <dcterms:modified xsi:type="dcterms:W3CDTF">2022-07-22T01:42:05Z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F0322F9FD98B4EB0BBC76B4BDAF42469</vt:lpwstr>
  </property>
</Properties>
</file>