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bookmarkStart w:id="0" w:name="_GoBack"/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植物苍耳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258310" cy="2527300"/>
            <wp:effectExtent l="0" t="0" r="8890" b="635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258310" cy="2527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苍耳子药材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rFonts w:ascii="Microsoft YaHei UI" w:hAnsi="Microsoft YaHei UI" w:eastAsia="Microsoft YaHei UI" w:cs="Microsoft YaHei UI"/>
          <w:i w:val="0"/>
          <w:iCs w:val="0"/>
          <w:caps w:val="0"/>
          <w:color w:val="333333"/>
          <w:spacing w:val="8"/>
          <w:sz w:val="21"/>
          <w:szCs w:val="21"/>
          <w:shd w:val="clear" w:fill="FFFFFF"/>
        </w:rPr>
        <w:drawing>
          <wp:inline distT="0" distB="0" distL="114300" distR="114300">
            <wp:extent cx="3799205" cy="2969895"/>
            <wp:effectExtent l="0" t="0" r="10795" b="1905"/>
            <wp:docPr id="2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29698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炒苍耳子饮片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4010025" cy="2945130"/>
            <wp:effectExtent l="0" t="0" r="9525" b="7620"/>
            <wp:docPr id="4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002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t>苍耳草饮片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  <w:r>
        <w:rPr>
          <w:i w:val="0"/>
          <w:iCs w:val="0"/>
          <w:caps w:val="0"/>
          <w:color w:val="333333"/>
          <w:spacing w:val="8"/>
          <w:sz w:val="21"/>
          <w:szCs w:val="21"/>
          <w:bdr w:val="none" w:color="auto" w:sz="0" w:space="0"/>
          <w:shd w:val="clear" w:fill="FFFFFF"/>
        </w:rPr>
        <w:drawing>
          <wp:inline distT="0" distB="0" distL="114300" distR="114300">
            <wp:extent cx="3915410" cy="2909570"/>
            <wp:effectExtent l="0" t="0" r="8890" b="5080"/>
            <wp:docPr id="3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15410" cy="29095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 w:line="357" w:lineRule="atLeast"/>
        <w:ind w:left="0" w:right="0"/>
        <w:jc w:val="center"/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Fonts w:hint="default" w:ascii="monospace" w:hAnsi="monospace" w:eastAsia="monospace" w:cs="monospace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drawing>
          <wp:inline distT="0" distB="0" distL="114300" distR="114300">
            <wp:extent cx="7229475" cy="897255"/>
            <wp:effectExtent l="0" t="0" r="9525" b="17145"/>
            <wp:docPr id="5" name="图片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29475" cy="897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4"/>
          <w:szCs w:val="24"/>
        </w:rPr>
      </w:pPr>
      <w:r>
        <w:rPr>
          <w:rStyle w:val="7"/>
          <w:rFonts w:ascii="黑体" w:hAnsi="宋体" w:eastAsia="黑体" w:cs="黑体"/>
          <w:b/>
          <w:i w:val="0"/>
          <w:iCs w:val="0"/>
          <w:caps w:val="0"/>
          <w:color w:val="222222"/>
          <w:spacing w:val="8"/>
          <w:sz w:val="31"/>
          <w:szCs w:val="31"/>
          <w:bdr w:val="none" w:color="auto" w:sz="0" w:space="0"/>
          <w:shd w:val="clear" w:fill="FFFFFF"/>
        </w:rPr>
        <w:t>苍耳子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Cɑng'erzi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/>
        <w:ind w:left="0" w:right="0" w:firstLine="0"/>
        <w:jc w:val="center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222222"/>
          <w:spacing w:val="8"/>
          <w:sz w:val="24"/>
          <w:szCs w:val="24"/>
          <w:bdr w:val="none" w:color="auto" w:sz="0" w:space="0"/>
          <w:shd w:val="clear" w:fill="FFFFFF"/>
        </w:rPr>
        <w:t>XANTHII FRUCTUS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本品为菊科植物苍耳</w:t>
      </w:r>
      <w:r>
        <w:rPr>
          <w:rFonts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Xanthium sibiricum Patr.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的干燥成熟带总苞的果实。秋季果实成熟时采收，干燥，除去梗、叶等杂质。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本品呈纺锤形或卵圆形，长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1.5cm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，直径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0.4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0.7cm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。表面黄棕色或黄绿色，全体有钩刺，顶端有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枚较粗的刺，分离或相连，基部有果梗痕。质硬而韧，横切面中央有纵隔膜，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室，各有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枚瘦果。瘦果略呈纺锤形，一面较平坦，顶端具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突起的花柱基，果皮薄，灰黑色，具纵纹。种皮膜质，浅灰色，子叶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，有油性。气微，味微苦。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本品粉末淡黄棕色至淡黄绿色。总苞纤维成束，常呈纵横交叉排列。果皮表皮细胞棕色，类长方形，常与下层纤维相连。果皮纤维成束或单个散在，细长梭形，纹孔和孔沟明显或不明显。种皮细胞淡黄色，外层细胞类多角形，壁稍厚；内层细胞具乳头状突起。木薄壁细胞类长方形，具纹孔。子叶细胞含糊粉粒和油滴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）取本品粉末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，加甲醇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，超声处理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分钟，滤过，滤液浓缩至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，作为供试品溶液。另取苍耳子对照药材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，同法制成对照药材溶液。照薄层色谱法（通则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）试验，吸取上述两种溶液各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，分别点于同一硅胶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薄层板上，以正丁醇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冰醋酸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4:1:5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）上层溶液为展开剂，展开，取出，晾干，置氨蒸气中熏至斑点显色清晰。供试品色谱中，在与对照药材色谱相应的位置上，显相同颜色的斑点。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12.0%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0832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第二法）。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总灰分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2302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照高效液相色谱法（通则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0512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）测定。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色谱条件与系统适用性试验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以十八烷基硅烷键合硅胶为填充剂；以乙腈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-0.4%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磷酸溶液（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10:90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）为流动相；检测波长为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327nm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。理论板数按绿原酸峰计算应不低于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对照品溶液的制备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取绿原酸对照品适量，精密称定，置棕色量瓶中，加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甲醇制成每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含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50μg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的溶液，即得（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℃以下保存）。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供试品溶液的制备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取本品粉末（过三号筛）约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0.5g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，精密称定，置具塞锥形瓶中，精密加入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甲醇溶液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25ml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，称定重量，超声处理（功率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300W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，频率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40kHz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40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分钟，放冷，再称定重量，用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甲酸的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甲醇补足减失的重量，摇匀，滤过，取续滤液（置棕色瓶中），即得。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测定法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分别精密吸取对照品溶液与供试品溶液各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5μl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，注入液相色谱仪，测定，即得。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本品按干燥品计算，含绿原酸（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C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16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H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18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O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  <w:vertAlign w:val="subscript"/>
        </w:rPr>
        <w:t>9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）不得少于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0.25%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555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8"/>
          <w:szCs w:val="28"/>
          <w:bdr w:val="none" w:color="auto" w:sz="0" w:space="0"/>
          <w:shd w:val="clear" w:fill="FFFFFF"/>
        </w:rPr>
        <w:t>饮片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【炮制】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苍耳子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除去杂质。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炒苍耳子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取净苍耳子，照清炒法（通则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0213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）炒至黄褐色，去刺，筛净。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【性状】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本品形如苍耳子，表面黄褐色，有刺痕。微有香气。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水分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同药材，不得过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10.0%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【鉴别】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【检查】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（总灰分）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【含量测定】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同药材。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【性味与归经】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辛、苦，温；有毒。归肺经。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【功能与主治】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散风寒，通鼻窍，祛风湿。用于风寒头痛，鼻塞流涕，鼻鼽，鼻渊，风疹瘙痒，湿痹拘挛。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【用法与用量】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3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～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10g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495" w:lineRule="atLeast"/>
        <w:ind w:left="0" w:right="0" w:firstLine="480"/>
        <w:jc w:val="both"/>
        <w:rPr>
          <w:rFonts w:hint="eastAsia" w:ascii="Microsoft YaHei UI" w:hAnsi="Microsoft YaHei UI" w:eastAsia="Microsoft YaHei UI" w:cs="Microsoft YaHei UI"/>
          <w:i w:val="0"/>
          <w:iCs w:val="0"/>
          <w:caps w:val="0"/>
          <w:color w:val="222222"/>
          <w:spacing w:val="8"/>
          <w:sz w:val="25"/>
          <w:szCs w:val="25"/>
        </w:rPr>
      </w:pPr>
      <w:r>
        <w:rPr>
          <w:rStyle w:val="7"/>
          <w:rFonts w:hint="eastAsia" w:ascii="黑体" w:hAnsi="宋体" w:eastAsia="黑体" w:cs="黑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【贮藏】</w:t>
      </w:r>
      <w:r>
        <w:rPr>
          <w:rFonts w:hint="default" w:ascii="Calibri" w:hAnsi="Calibri" w:eastAsia="Microsoft YaHei UI" w:cs="Calibri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8"/>
          <w:sz w:val="24"/>
          <w:szCs w:val="24"/>
          <w:bdr w:val="none" w:color="auto" w:sz="0" w:space="0"/>
          <w:shd w:val="clear" w:fill="FFFFFF"/>
        </w:rPr>
        <w:t>置干燥处。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Microsoft YaHei U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OTViZWY1YjI1NGY1NzExZTMxNGVkZWVmY2YzMTlmMjcifQ=="/>
  </w:docVars>
  <w:rsids>
    <w:rsidRoot w:val="35C121DC"/>
    <w:rsid w:val="35C121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character" w:default="1" w:styleId="6">
    <w:name w:val="Default Paragraph Font"/>
    <w:semiHidden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4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7">
    <w:name w:val="Strong"/>
    <w:basedOn w:val="6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Office_11.1.0.11875_F1E327BC-269C-435d-A152-05C5408002CA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2022-07-20T06:56:00Z</dcterms:created>
  <dc:creator>Administrator</dc:creator>
  <cp:lastModifiedBy>Administrator</cp:lastModifiedBy>
  <dcterms:modified xsi:type="dcterms:W3CDTF">2022-07-20T06:59:26Z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2052-11.1.0.11875</vt:lpwstr>
  </property>
  <property fmtid="{D5CDD505-2E9C-101B-9397-08002B2CF9AE}" pid="3" name="ICV">
    <vt:lpwstr>71FC15109217404B918DB939E9FAE4CA</vt:lpwstr>
  </property>
</Properties>
</file>