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地鳖动物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219575" cy="2538095"/>
            <wp:effectExtent l="0" t="0" r="9525" b="1460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b="37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38095"/>
                    </a:xfrm>
                    <a:prstGeom prst="flowChartOffpageConnector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124325" cy="2790825"/>
            <wp:effectExtent l="0" t="0" r="9525" b="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90825"/>
                    </a:xfrm>
                    <a:prstGeom prst="flowChartDocumen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576B95"/>
          <w:spacing w:val="8"/>
          <w:sz w:val="21"/>
          <w:szCs w:val="21"/>
          <w:u w:val="single"/>
          <w:bdr w:val="none" w:color="auto" w:sz="0" w:space="0"/>
          <w:shd w:val="clear" w:fill="FFFFFF"/>
        </w:rPr>
        <w:fldChar w:fldCharType="begin"/>
      </w:r>
      <w:r>
        <w:rPr>
          <w:i w:val="0"/>
          <w:iCs w:val="0"/>
          <w:caps w:val="0"/>
          <w:color w:val="576B95"/>
          <w:spacing w:val="8"/>
          <w:sz w:val="21"/>
          <w:szCs w:val="21"/>
          <w:u w:val="single"/>
          <w:bdr w:val="none" w:color="auto" w:sz="0" w:space="0"/>
          <w:shd w:val="clear" w:fill="FFFFFF"/>
        </w:rPr>
        <w:instrText xml:space="preserve"> HYPERLINK "http://mp.weixin.qq.com/s?__biz=MzI5OTU1ODkyMA==&amp;mid=2247488363&amp;idx=1&amp;sn=252ed6f74db4b06185d500dd5054eaba&amp;chksm=ec95e20cdbe26b1a0fdb4a6fc707ffd8eb3e5b2c97c2012bfc7018c421ef585cf7cf98c3538e&amp;scene=21" \l "wechat_redirect" \t "https://mp.weixin.qq.com/_blank" </w:instrText>
      </w:r>
      <w:r>
        <w:rPr>
          <w:i w:val="0"/>
          <w:iCs w:val="0"/>
          <w:caps w:val="0"/>
          <w:color w:val="576B95"/>
          <w:spacing w:val="8"/>
          <w:sz w:val="21"/>
          <w:szCs w:val="21"/>
          <w:u w:val="single"/>
          <w:bdr w:val="none" w:color="auto" w:sz="0" w:space="0"/>
          <w:shd w:val="clear" w:fill="FFFFFF"/>
        </w:rPr>
        <w:fldChar w:fldCharType="separate"/>
      </w:r>
      <w:r>
        <w:rPr>
          <w:i w:val="0"/>
          <w:iCs w:val="0"/>
          <w:caps w:val="0"/>
          <w:color w:val="576B95"/>
          <w:spacing w:val="8"/>
          <w:sz w:val="21"/>
          <w:szCs w:val="21"/>
          <w:u w:val="single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keepNext w:val="0"/>
        <w:keepLines w:val="0"/>
        <w:widowControl/>
        <w:suppressLineNumbers w:val="0"/>
        <w:jc w:val="center"/>
        <w:rPr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土鳖虫药材</w:t>
      </w:r>
    </w:p>
    <w:p>
      <w:pPr>
        <w:keepNext w:val="0"/>
        <w:keepLines w:val="0"/>
        <w:widowControl/>
        <w:suppressLineNumbers w:val="0"/>
        <w:jc w:val="center"/>
      </w:pPr>
      <w:bookmarkStart w:id="0" w:name="_GoBack"/>
      <w:bookmarkEnd w:id="0"/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6865" cy="2894965"/>
            <wp:effectExtent l="0" t="0" r="6985" b="63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1"/>
          <w:szCs w:val="21"/>
          <w:shd w:val="clear" w:fill="FFFFFF"/>
        </w:rPr>
        <w:t>炒土鳖虫药材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240530" cy="3140075"/>
            <wp:effectExtent l="0" t="0" r="7620" b="3175"/>
            <wp:docPr id="1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25"/>
          <w:szCs w:val="25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25"/>
          <w:szCs w:val="25"/>
          <w:shd w:val="clear" w:fill="FFFFFF"/>
        </w:rPr>
        <w:drawing>
          <wp:inline distT="0" distB="0" distL="114300" distR="114300">
            <wp:extent cx="5915025" cy="2113280"/>
            <wp:effectExtent l="0" t="0" r="9525" b="1270"/>
            <wp:docPr id="2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6" descr="IMG_27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FF0000"/>
          <w:spacing w:val="8"/>
          <w:sz w:val="48"/>
          <w:szCs w:val="48"/>
          <w:bdr w:val="none" w:color="auto" w:sz="0" w:space="0"/>
          <w:shd w:val="clear" w:fill="FFFFFF"/>
        </w:rPr>
        <w:t>下面为2020版中国药典标准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hint="eastAsia"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土鳖虫（䗪虫）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Tubiechong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EUPOLYPHAGA STELEOPHAGA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本品为鳖蠊科昆虫地鳖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Eupolyphaga sinensis Walker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或冀地鳖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Steleophaga plancyi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Boleny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）的雌虫干燥体。捕捉后，置沸水中烫死，晒干或烘干。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地鳖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呈扁平卵形，长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，宽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2.4cm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。前端较窄，后端较宽，背部紫褐色，具光泽，无翅。前胸背板较发达，盖住头部；腹背板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节，呈覆瓦状排列。腹面红棕色，头部较小，有丝状触角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对，常脱落，胸部有足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对，具细毛和刺。腹部有横环节。质松脆，易碎。气腥臭，味微咸。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冀地鳖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3.7cm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，宽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。背部黑棕色，通常在边缘带有淡黄褐色斑块及黑色小点。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）本品粉末灰棕色。体壁碎片深棕色或黄色，表面有不规则纹理，其上着生短粗或细长刚毛，常可见刚毛脱落后的圆形毛窝，直径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32μm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；刚毛棕黄色或黄色，先端锐尖或钝圆，长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270μm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32μm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，有的具纵直纹理。横纹肌纤维无色或淡黄色，常碎断，有细密横纹，平直或呈微波状，明带较暗带为宽。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使溶解，作为供试品溶液。另取土鳖虫对照药材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薄层板上，以甲苯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丙酮（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5:5:0.5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）为展开剂，展开，取出，晾干，置紫外光灯（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）下检视。供试品色谱中，在与对照药材色谱相应的位置上，显相同颜色的荧光斑点；喷以香草醛硫酸试液，在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杂质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照真菌毒素测定法（通则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2351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取本品粉末（过二号筛）约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，精密称定，加入氯化钠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，照黄曲霉毒素测定法项下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方法，其中，精密量取上清液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，测定，计算，即得。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，含黄曲霉毒素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和黄曲霉毒素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的总量不得过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照水溶性浸出物测定法（通则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咸，寒；有小毒。归肝经。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破血逐瘀，续筋接骨。用于跌打损伤，筋伤骨折，血瘀经闭，产后瘀阻腹痛，癥瘕痞块。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孕妇禁用。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1F713F3D"/>
    <w:rsid w:val="1F713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2022-07-20T08:06:00Z</dcterms:created>
  <dc:creator>Administrator</dc:creator>
  <cp:lastModifiedBy>Administrator</cp:lastModifiedBy>
  <dcterms:modified xsi:type="dcterms:W3CDTF">2022-07-20T08:13:06Z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3FC1B9B4F9D144D2A3B9CC1C20FB3E9C</vt:lpwstr>
  </property>
</Properties>
</file>