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洗净麦冬植物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18"/>
          <w:szCs w:val="18"/>
          <w:bdr w:val="none" w:color="auto" w:sz="0" w:space="0"/>
          <w:shd w:val="clear" w:fill="FFFFFF"/>
        </w:rPr>
        <w:t>（陈卓摄）</w:t>
      </w: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267835" cy="2845435"/>
            <wp:effectExtent l="0" t="0" r="18415" b="12065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洗净鲜麦冬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18"/>
          <w:szCs w:val="18"/>
          <w:bdr w:val="none" w:color="auto" w:sz="0" w:space="0"/>
          <w:shd w:val="clear" w:fill="FFFFFF"/>
        </w:rPr>
        <w:t>（陈卓摄）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5229225" cy="3917315"/>
            <wp:effectExtent l="0" t="0" r="9525" b="6985"/>
            <wp:docPr id="1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1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麦冬药材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149725" cy="3086735"/>
            <wp:effectExtent l="0" t="0" r="3175" b="18415"/>
            <wp:docPr id="1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麦冬饮片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1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7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66540" cy="3001010"/>
            <wp:effectExtent l="0" t="0" r="10160" b="889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00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63385" cy="839470"/>
            <wp:effectExtent l="0" t="0" r="18415" b="1778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3385" cy="83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麦冬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Mɑidong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OPHIOPOGONIS RADIX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本品为百合科植物麦冬</w:t>
      </w:r>
      <w:r>
        <w:rPr>
          <w:rFonts w:ascii="Calibri" w:hAnsi="Calibri" w:eastAsia="Microsoft YaHei UI" w:cs="Calibri"/>
          <w:i w:val="0"/>
          <w:iCs w:val="0"/>
          <w:caps w:val="0"/>
          <w:color w:val="3DA742"/>
          <w:spacing w:val="8"/>
          <w:sz w:val="24"/>
          <w:szCs w:val="24"/>
          <w:bdr w:val="none" w:color="auto" w:sz="0" w:space="0"/>
          <w:shd w:val="clear" w:fill="FFFFFF"/>
        </w:rPr>
        <w:t>Ophiopogon japonicus</w:t>
      </w:r>
      <w:r>
        <w:rPr>
          <w:rFonts w:hint="eastAsia" w:ascii="宋体" w:hAnsi="宋体" w:eastAsia="宋体" w:cs="宋体"/>
          <w:i w:val="0"/>
          <w:iCs w:val="0"/>
          <w:caps w:val="0"/>
          <w:color w:val="3DA742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3DA742"/>
          <w:spacing w:val="8"/>
          <w:sz w:val="24"/>
          <w:szCs w:val="24"/>
          <w:bdr w:val="none" w:color="auto" w:sz="0" w:space="0"/>
          <w:shd w:val="clear" w:fill="FFFFFF"/>
        </w:rPr>
        <w:t>L.f.</w:t>
      </w:r>
      <w:r>
        <w:rPr>
          <w:rFonts w:hint="eastAsia" w:ascii="宋体" w:hAnsi="宋体" w:eastAsia="宋体" w:cs="宋体"/>
          <w:i w:val="0"/>
          <w:iCs w:val="0"/>
          <w:caps w:val="0"/>
          <w:color w:val="3DA742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3DA742"/>
          <w:spacing w:val="8"/>
          <w:sz w:val="24"/>
          <w:szCs w:val="24"/>
          <w:bdr w:val="none" w:color="auto" w:sz="0" w:space="0"/>
          <w:shd w:val="clear" w:fill="FFFFFF"/>
        </w:rPr>
        <w:t>Ker-Gawl.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的干燥块根。夏季采挖，洗净，反复暴晒、堆置，至七八成干，除去须根，干燥。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本品呈纺锤形，两端略尖，长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0.6cm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。表面淡黄色或灰黄色，有细纵纹。质柔韧，断面黄白色，半透明，中柱细小。气微香，味甘、微苦。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）本品横切面：表皮细胞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列或脱落，根被为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列木化细胞。皮层宽广，散有含草酸钙针晶束的黏液细胞，有的针晶直径至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；内皮层细胞壁均匀增厚，木化，有通道细胞，外侧为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列石细胞，其内壁及侧壁增厚，纹孔细密。中柱较小，韧皮部束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个，木质部由导管、管胞、木纤维以及内侧的木化细胞连结成环层。髓小，薄壁细胞类圆形。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，剪碎，加三氯甲烷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7:3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）混合溶液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，浸泡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分钟，放冷，滤过，滤液蒸干，残渣加三氯甲烷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使溶解，作为供试品溶液。另取麦冬对照药材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GF254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薄层板上，以甲苯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80:5:0.1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）为展开剂，展开，取出，晾干，置紫外光灯（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254nm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18.0%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照水溶性浸出物测定法（通则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取鲁斯可皂苷元对照品适量，精密称定，加甲醇制成每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标准曲线的制备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精密量取对照品溶液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，分别置具塞试管中，于水浴中挥干溶剂，精密加入高氯酸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，摇匀，置热水中保温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分钟，取出，冰水冷却，以相应的试剂为空白，照紫外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可见分光光度法（通则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0401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397nm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波长处测定吸光度，以吸光度为纵坐标，浓度为横坐标，绘制标准曲线。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取本品细粉约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小时，放冷，再称定重量，用甲醇补足减失的重量，摇匀，滤过，精密量取续滤液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，回收溶剂至干，残渣加水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使溶解，用水饱和正丁醇振摇提取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次，每次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，合并正丁醇液，用氨试液洗涤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次，每次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，弃去氨液，正丁醇液蒸干。残渣用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甲醇溶解，转移至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甲醇至刻度，摇匀。精密量取供试品溶液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具塞试管中，照标准曲线的制备项下的方法，自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于水浴中挥干溶剂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起，依法测定吸光度，从标准曲线上读出供试品溶液中鲁斯可皂苷元的重量，计算，即得。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本品按干燥品计算，含麦冬总皂苷以鲁斯可皂苷元（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27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）计，不得少于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0.12%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除去杂质，洗净，润透，轧扁，干燥。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本品形如麦冬，或为轧扁的纺锤形块片。表面淡黄色或灰黄色，有细纵纹。质柔韧，断面黄白色，半透明，中柱细小。气微香，味甘、微苦。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甘、微苦，微寒。归心、肺、胃经。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养阴生津，润肺清心。用于肺燥干咳，阴虚痨嗽，喉痹咽痛，津伤口渴，内热消渴，心烦失眠，肠燥便秘。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置阴凉干燥处，防潮。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5191189E"/>
    <w:rsid w:val="51911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2022-07-20T09:07:00Z</dcterms:created>
  <dc:creator>Administrator</dc:creator>
  <cp:lastModifiedBy>Administrator</cp:lastModifiedBy>
  <dcterms:modified xsi:type="dcterms:W3CDTF">2022-07-20T09:11:49Z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BB890DF7CC9642EAA64F003FCC2C07C4</vt:lpwstr>
  </property>
</Properties>
</file>