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monospace" w:hAnsi="monospace" w:eastAsia="宋体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  <w:lang w:eastAsia="zh-CN"/>
        </w:rPr>
        <w:t>蒙</w:t>
      </w: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古黄芪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21150" cy="2745105"/>
            <wp:effectExtent l="0" t="0" r="12700" b="1714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color w:val="333333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黄芪药材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334510" cy="2844800"/>
            <wp:effectExtent l="0" t="0" r="8890" b="1270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84480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黄芪饮片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27450" cy="2639060"/>
            <wp:effectExtent l="0" t="0" r="6350" b="889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63906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40"/>
          <w:szCs w:val="40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44"/>
          <w:szCs w:val="44"/>
          <w:bdr w:val="none" w:color="auto" w:sz="0" w:space="0"/>
          <w:shd w:val="clear" w:fill="FFFFFF"/>
        </w:rPr>
        <w:t>下面为2020版中国药典标准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Huɑngqi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t>ASTRAGALI RADIX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本品为豆科植物蒙古黄芪</w:t>
      </w:r>
      <w:r>
        <w:rPr>
          <w:rStyle w:val="8"/>
          <w:rFonts w:hint="eastAsia" w:ascii="宋体" w:hAnsi="宋体" w:eastAsia="宋体" w:cs="宋体"/>
          <w:i/>
          <w:iCs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Astragalus membranaceus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（Fisch.）Bge.var.</w:t>
      </w:r>
      <w:r>
        <w:rPr>
          <w:rStyle w:val="8"/>
          <w:rFonts w:hint="eastAsia" w:ascii="宋体" w:hAnsi="宋体" w:eastAsia="宋体" w:cs="宋体"/>
          <w:i/>
          <w:iCs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mongholicus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（Bge.）Hsiao或膜荚黄芪</w:t>
      </w:r>
      <w:r>
        <w:rPr>
          <w:rStyle w:val="8"/>
          <w:rFonts w:hint="eastAsia" w:ascii="宋体" w:hAnsi="宋体" w:eastAsia="宋体" w:cs="宋体"/>
          <w:i/>
          <w:iCs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Astragalus membranaceus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（Fisch.）Bge.的干燥根。春、秋二季采挖，除去须根和根头，晒干。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【性状】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本品呈圆柱形，有的有分枝，上端较粗，长30～90cm，直径1～3.5cm。表面淡棕黄色或淡棕褐色，有不整齐的纵皱纹或纵沟。质硬而韧，不易折断，断面纤维性强，并显粉性，皮部黄白色，木部淡黄色，有放射状纹理和裂隙，老根中心偶呈枯朽状，黑褐色或呈空洞。气微，味微甜，嚼之微有豆腥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【鉴别】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1）本品横切面：木栓细胞多列；栓内层为3～5列厚角细胞。韧皮部射线外侧常弯曲，有裂隙；纤维成束，壁厚，木化或微木化，与筛管群交互排列；近栓内层处有时可见石细胞。形成层成环。木质部导管单个散在或2～3个相聚；导管间有木纤维；射线中有时可见单个或2～4个成群的石细胞。薄壁细胞含淀粉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粉末黄白色。纤维成束或散离，直径8～30μm，壁厚，表面有纵裂纹，初生壁常与次生壁分离，两端常断裂成须状，或较平截。具缘纹孔导管无色或橙黄色，具缘纹孔排列紧密。石细胞少见，圆形、长圆形或形状不规则，壁较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（2）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照薄层色谱法（通则0502）试验，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B050"/>
          <w:spacing w:val="8"/>
          <w:sz w:val="25"/>
          <w:szCs w:val="25"/>
          <w:bdr w:val="none" w:color="auto" w:sz="0" w:space="0"/>
          <w:shd w:val="clear" w:fill="FFFFFF"/>
        </w:rPr>
        <w:t>吸取﹝含量测定﹞黄芪甲苷项下的供试品溶液及对照品溶液各5～10μl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，分别点于同一硅胶G薄层板上，以三氯甲烷-甲醇-水（13:7:2）的下层溶液为展开剂，展开，取出，晾干，喷以10%硫酸乙醇溶液，在105℃加热至斑点显色清晰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，分别置日光和紫外光灯（365nm）下检视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。供试品色谱中，在与对照品色谱相应的位置上，日光下显相同的棕褐色斑点；紫外光（365nm）下显相同的橙黄色荧光斑点。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3）取本品粉末2g，加乙醇30ml，加热回流20分钟，滤过，滤液蒸干，残渣加0.3%氢氧化钠溶液15ml使溶解，滤过，滤液用稀盐酸调节pH值至5～6，用乙酸乙酯15ml振摇提取，分取乙酸乙酯液，用铺有适量无水硫酸钠的滤纸滤过，滤液蒸干。残渣加乙酸乙酯1ml使溶解，作为供试品溶液。另取黄芪对照药材2g，同法制成对照药材溶液。照薄层色谱法（通则0502）试验，吸取上述两种溶液各10μl，分别点于同一硅胶G薄层板上，以三氯甲烷-甲醇（10:1）为展开剂，展开，取出，晾干，置氨蒸气中熏后，置紫外光灯（365nm）下检视。供试品色谱中，在与对照药材色谱相应的位置上，显相同颜色的荧光主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【检查】</w:t>
      </w: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水分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不得过10.0%（通则0832第二法）。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总灰分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不得过5.0%（通则2302）。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重金属及有害元素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照铅、镉、砷、汞、铜测定法（通则2321原子吸收分光光度法或电感耦合等离子体质谱法）测定，铅不得过5mg/kg；镉不得过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1mg/kg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；砷不得过2mg/kg；汞不得过0.2mg/kg；铜不得过20mg/kg。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其他有机氯类农药残留量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照农药残留量测定法（通则2341有机氯类农药残留量测定法—第一法）测定。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五氯硝基苯不得过0.1mg/kg。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【浸出物】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照水溶性浸出物测定法（通则2201）项下的冷浸法测定，不得少于17.0%。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【含量测定】</w:t>
      </w: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黄芪甲苷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照高效液相色谱法（通则0512）测定。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色谱条件与系统适用性试验以十八烷基硅烷键合硅胶为填充剂；以乙腈-水（32:68）为流动相；蒸发光散射检测器检测。理论板数按黄芪甲苷峰计算应不低于4000。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对照品溶液的制备取黄芪甲苷对照品适量，精密称定，加80%甲醇制成每1ml含0.5mg的溶液，即得。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供试品溶液的制备取本品粉末（过四号筛）约1g，精密称定，置具塞锥形瓶中，精密加入含4%浓氨试液的80%甲醇溶液（取浓氨试液4ml，加80%甲醇至100ml，摇匀）50ml，密塞，称定重量，加热回流1小时，放冷，再称定重量，用含4%浓氨试液的80%甲醇溶液补足减失的重量，摇匀，滤过，精密量取续滤液25ml，蒸干，残渣用80%甲醇溶解，转移至5ml量瓶中，加80%甲醇至刻度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测定法分别精密吸取对照品溶液2μl（或5μl）、10μl，供试品溶液10～20μl，注入液相色谱仪，测定，以外标两点法对数方程计算，即得。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本品按干燥品计算，含黄芪甲苷（C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41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H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68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O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14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FF0000"/>
          <w:spacing w:val="8"/>
          <w:sz w:val="25"/>
          <w:szCs w:val="25"/>
          <w:bdr w:val="none" w:color="auto" w:sz="0" w:space="0"/>
          <w:shd w:val="clear" w:fill="FFFFFF"/>
        </w:rPr>
        <w:t>）不得少于0.080%。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毛蕊异黄酮葡萄糖苷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照高效液相色谱法（通则0512）测定。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色谱条件与系统适用性试验以十八烷基硅烷键合硅胶为填充剂；以乙腈为流动相A，以0.2%甲酸溶液为流动相B，按下表中的规定进行梯度洗脱；检测波长为260nm。理论板数按毛蕊异黄酮葡萄糖苷峰计算应不低于3000。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048375" cy="143827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bdr w:val="none" w:color="auto" w:sz="0" w:space="0"/>
          <w:lang w:val="en-US" w:eastAsia="zh-CN" w:bidi="ar"/>
        </w:rPr>
        <w:t>供试品溶液的制备取本品粉末（过四号筛）约1g，精密称定，置圆底烧瓶中，精密加入甲醇50ml，称定重量，加热回流4小时，放冷，再称定重量，用甲醇补足减失的重量，摇匀，滤过，精密量取续滤液25ml，回收溶剂至干，残渣加甲醇溶解，转移至5ml量瓶中，加甲醇至刻度，摇匀，即得。对照品溶液的制备取毛蕊异黄酮葡萄糖苷对照品适量，精密称定，加甲醇制成每1ml含50μg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测定法分别精密吸取对照品溶液与供试品溶液各10μl，注入液相色谱仪，测定，即得。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本品按干燥品计算，含毛蕊异黄酮葡萄糖苷（C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22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H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22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O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）不得少于0.020%。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【炮制】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除去杂质，大小分开，洗净，润透，切厚片，干燥。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FF"/>
          <w:spacing w:val="8"/>
          <w:sz w:val="25"/>
          <w:szCs w:val="25"/>
          <w:bdr w:val="none" w:color="auto" w:sz="0" w:space="0"/>
          <w:shd w:val="clear" w:fill="FFFFFF"/>
        </w:rPr>
        <w:t>【性状】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本品呈类圆形或椭圆形的厚片，外表皮黄白色至淡棕褐色，可见纵皱纹或纵沟。切面皮部黄白色，木部淡黄色，有放射状纹理及裂隙，有的中心偶有枯朽状，黑褐色或呈空洞。气微，味微甜，嚼之有豆腥味。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【鉴别】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（除横切面外）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【检查】【浸出物】【含量测定】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【性味与归经】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甘，微温。归肺、脾经。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【功能与主治】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补气升阳，固表止汗，利水消肿，生津养血，行滞通痹，托毒排脓，敛疮生肌。用于气虚乏力，食少便溏，中气下陷，久泻脱肛，便血崩漏，表虚自汗，气虚水肿，内热消渴，血虚萎黄，半身不遂，痹痛麻木，痈疽难溃，久溃不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【用法与用量】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 9～30g。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【贮藏】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5"/>
          <w:szCs w:val="25"/>
          <w:bdr w:val="none" w:color="auto" w:sz="0" w:space="0"/>
          <w:shd w:val="clear" w:fill="FFFFFF"/>
        </w:rPr>
        <w:t>置通风干燥处，防潮，防蛀。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288760E6"/>
    <w:rsid w:val="2887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2022-07-20T09:48:00Z</dcterms:created>
  <dc:creator>Administrator</dc:creator>
  <cp:lastModifiedBy>Administrator</cp:lastModifiedBy>
  <dcterms:modified xsi:type="dcterms:W3CDTF">2022-07-20T09:50:45Z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DFBBE5F3829F407EAE10837585974695</vt:lpwstr>
  </property>
</Properties>
</file>