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480" w:after="400" w:line="240" w:lineRule="auto"/>
        <w:jc w:val="center"/>
      </w:pPr>
      <w:r>
        <w:drawing>
          <wp:inline xmlns:a="http://schemas.openxmlformats.org/drawingml/2006/main" xmlns:pic="http://schemas.openxmlformats.org/drawingml/2006/picture">
            <wp:extent cx="5074920" cy="1377327"/>
            <wp:docPr id="1" name="Picture 1"/>
            <wp:cNvGraphicFramePr>
              <a:graphicFrameLocks noChangeAspect="1"/>
            </wp:cNvGraphicFramePr>
            <a:graphic>
              <a:graphicData uri="http://schemas.openxmlformats.org/drawingml/2006/picture">
                <pic:pic>
                  <pic:nvPicPr>
                    <pic:cNvPr id="0" name="logo-large.png"/>
                    <pic:cNvPicPr/>
                  </pic:nvPicPr>
                  <pic:blipFill>
                    <a:blip r:embed="rId13"/>
                    <a:stretch>
                      <a:fillRect/>
                    </a:stretch>
                  </pic:blipFill>
                  <pic:spPr>
                    <a:xfrm>
                      <a:off x="0" y="0"/>
                      <a:ext cx="5074920" cy="1377327"/>
                    </a:xfrm>
                    <a:prstGeom prst="rect"/>
                  </pic:spPr>
                </pic:pic>
              </a:graphicData>
            </a:graphic>
          </wp:inline>
        </w:drawing>
      </w:r>
    </w:p>
    <w:p>
      <w:pPr>
        <w:keepNext/>
        <w:keepLines w:val="0"/>
        <w:spacing w:before="120" w:after="100" w:line="240" w:lineRule="auto"/>
        <w:jc w:val="center"/>
      </w:pPr>
      <w:r>
        <w:rPr>
          <w:rFonts w:ascii="Arial" w:hAnsi="Arial"/>
          <w:b/>
          <w:color w:val="003A66"/>
          <w:sz w:val="51"/>
        </w:rPr>
        <w:t>Real-Time Integration Specification</w:t>
      </w:r>
    </w:p>
    <w:p>
      <w:pPr>
        <w:keepNext/>
        <w:keepLines w:val="0"/>
        <w:spacing w:before="0" w:after="260" w:line="240" w:lineRule="auto"/>
        <w:jc w:val="center"/>
      </w:pPr>
      <w:r>
        <w:rPr>
          <w:rFonts w:ascii="Arial" w:hAnsi="Arial"/>
          <w:b/>
          <w:color w:val="0078C7"/>
          <w:sz w:val="29"/>
        </w:rPr>
        <w:t>DATED CONTRACT v2.0</w:t>
      </w:r>
    </w:p>
    <w:p>
      <w:pPr>
        <w:keepNext w:val="0"/>
        <w:keepLines w:val="0"/>
        <w:spacing w:before="0" w:after="440" w:line="288" w:lineRule="auto"/>
        <w:jc w:val="center"/>
      </w:pPr>
      <w:r>
        <w:rPr>
          <w:rFonts w:ascii="Arial" w:hAnsi="Arial"/>
          <w:color w:val="496578"/>
          <w:sz w:val="24"/>
        </w:rPr>
        <w:t>Authoritative contract for API pulls, CSV/XLSX imports, historical filtering, portfolio reporting and source reconciliation</w:t>
      </w:r>
    </w:p>
    <w:tbl>
      <w:tblPr>
        <w:tblW w:type="auto" w:w="0"/>
        <w:jc w:val="center"/>
        <w:tblLayout w:type="fixed"/>
        <w:tblLook w:firstColumn="1" w:firstRow="1" w:lastColumn="0" w:lastRow="0" w:noHBand="0" w:noVBand="1" w:val="04A0"/>
      </w:tblPr>
      <w:tblGrid>
        <w:gridCol w:w="10080"/>
      </w:tblGrid>
      <w:tr>
        <w:tc>
          <w:tcPr>
            <w:tcW w:type="dxa" w:w="9864"/>
            <w:shd w:fill="FFF5DF"/>
            <w:tcMar>
              <w:top w:w="150" w:type="dxa"/>
              <w:start w:w="190" w:type="dxa"/>
              <w:bottom w:w="150" w:type="dxa"/>
              <w:end w:w="190" w:type="dxa"/>
            </w:tcMar>
            <w:tcBorders>
              <w:top w:val="single" w:sz="3" w:color="FFF5DF"/>
              <w:bottom w:val="single" w:sz="3" w:color="FFF5DF"/>
              <w:start w:val="single" w:sz="22" w:color="A56300"/>
              <w:end w:val="single" w:sz="3" w:color="FFF5DF"/>
            </w:tcBorders>
          </w:tcPr>
          <w:p>
            <w:pPr>
              <w:keepNext/>
              <w:keepLines w:val="0"/>
              <w:spacing w:before="0" w:after="80" w:line="240" w:lineRule="auto"/>
            </w:pPr>
            <w:r>
              <w:rPr>
                <w:rFonts w:ascii="Arial" w:hAnsi="Arial"/>
                <w:b/>
                <w:color w:val="A56300"/>
                <w:sz w:val="22"/>
              </w:rPr>
              <w:t>Alignment decision</w:t>
            </w:r>
          </w:p>
          <w:p>
            <w:pPr>
              <w:keepNext w:val="0"/>
              <w:keepLines w:val="0"/>
              <w:spacing w:before="0" w:after="0" w:line="274" w:lineRule="auto"/>
            </w:pPr>
            <w:r>
              <w:rPr>
                <w:rFonts w:ascii="Arial" w:hAnsi="Arial"/>
                <w:color w:val="17324D"/>
                <w:sz w:val="20"/>
              </w:rPr>
              <w:t>The original v1 contract was not fully aligned for auditable historical dashboard filters. The v2 contract separates business events, effective/observed state and technical source change time. Not every table needs the same date; every metric needs the correct date class.</w:t>
            </w:r>
          </w:p>
        </w:tc>
      </w:tr>
    </w:tbl>
    <w:p>
      <w:pPr>
        <w:keepNext w:val="0"/>
        <w:keepLines w:val="0"/>
        <w:spacing w:before="0" w:after="60" w:line="276" w:lineRule="auto"/>
      </w:pPr>
      <w:r>
        <w:rPr>
          <w:rFonts w:ascii="Arial" w:hAnsi="Arial"/>
          <w:b w:val="0"/>
          <w:i w:val="0"/>
          <w:color w:val="17324D"/>
          <w:sz w:val="2"/>
        </w:rPr>
      </w:r>
    </w:p>
    <w:tbl>
      <w:tblPr>
        <w:tblW w:type="auto" w:w="0"/>
        <w:jc w:val="center"/>
        <w:tblLayout w:type="fixed"/>
        <w:tblLook w:firstColumn="1" w:firstRow="1" w:lastColumn="0" w:lastRow="0" w:noHBand="0" w:noVBand="1" w:val="04A0"/>
      </w:tblPr>
      <w:tblGrid>
        <w:gridCol w:w="5040"/>
        <w:gridCol w:w="5040"/>
      </w:tblGrid>
      <w:tr>
        <w:tc>
          <w:tcPr>
            <w:tcW w:type="dxa" w:w="2376"/>
            <w:tcMar>
              <w:top w:w="75" w:type="dxa"/>
              <w:start w:w="100" w:type="dxa"/>
              <w:bottom w:w="75" w:type="dxa"/>
              <w:end w:w="100" w:type="dxa"/>
            </w:tcMar>
            <w:shd w:fill="EAF4FB"/>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Prepared for</w:t>
            </w:r>
          </w:p>
        </w:tc>
        <w:tc>
          <w:tcPr>
            <w:tcW w:type="dxa" w:w="7128"/>
            <w:tcMar>
              <w:top w:w="75" w:type="dxa"/>
              <w:start w:w="100" w:type="dxa"/>
              <w:bottom w:w="75" w:type="dxa"/>
              <w:end w:w="100" w:type="dxa"/>
            </w:tcMa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Optimise integration developer and portal owner</w:t>
            </w:r>
          </w:p>
        </w:tc>
      </w:tr>
      <w:tr>
        <w:tc>
          <w:tcPr>
            <w:tcW w:type="dxa" w:w="2376"/>
            <w:tcMar>
              <w:top w:w="75" w:type="dxa"/>
              <w:start w:w="100" w:type="dxa"/>
              <w:bottom w:w="75" w:type="dxa"/>
              <w:end w:w="100" w:type="dxa"/>
            </w:tcMar>
            <w:shd w:fill="EAF4FB"/>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Prepared</w:t>
            </w:r>
          </w:p>
        </w:tc>
        <w:tc>
          <w:tcPr>
            <w:tcW w:type="dxa" w:w="7128"/>
            <w:tcMar>
              <w:top w:w="75" w:type="dxa"/>
              <w:start w:w="100" w:type="dxa"/>
              <w:bottom w:w="75" w:type="dxa"/>
              <w:end w:w="100" w:type="dxa"/>
            </w:tcMar>
            <w:shd w:fill="F4F9FC"/>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12 August 2026</w:t>
            </w:r>
          </w:p>
        </w:tc>
      </w:tr>
      <w:tr>
        <w:tc>
          <w:tcPr>
            <w:tcW w:type="dxa" w:w="2376"/>
            <w:tcMar>
              <w:top w:w="75" w:type="dxa"/>
              <w:start w:w="100" w:type="dxa"/>
              <w:bottom w:w="75" w:type="dxa"/>
              <w:end w:w="100" w:type="dxa"/>
            </w:tcMar>
            <w:shd w:fill="EAF4FB"/>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Contract version</w:t>
            </w:r>
          </w:p>
        </w:tc>
        <w:tc>
          <w:tcPr>
            <w:tcW w:type="dxa" w:w="7128"/>
            <w:tcMar>
              <w:top w:w="75" w:type="dxa"/>
              <w:start w:w="100" w:type="dxa"/>
              <w:bottom w:w="75" w:type="dxa"/>
              <w:end w:w="100" w:type="dxa"/>
            </w:tcMa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2.0</w:t>
            </w:r>
          </w:p>
        </w:tc>
      </w:tr>
      <w:tr>
        <w:tc>
          <w:tcPr>
            <w:tcW w:type="dxa" w:w="2376"/>
            <w:tcMar>
              <w:top w:w="75" w:type="dxa"/>
              <w:start w:w="100" w:type="dxa"/>
              <w:bottom w:w="75" w:type="dxa"/>
              <w:end w:w="100" w:type="dxa"/>
            </w:tcMar>
            <w:shd w:fill="EAF4FB"/>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Status</w:t>
            </w:r>
          </w:p>
        </w:tc>
        <w:tc>
          <w:tcPr>
            <w:tcW w:type="dxa" w:w="7128"/>
            <w:tcMar>
              <w:top w:w="75" w:type="dxa"/>
              <w:start w:w="100" w:type="dxa"/>
              <w:bottom w:w="75" w:type="dxa"/>
              <w:end w:w="100" w:type="dxa"/>
            </w:tcMar>
            <w:shd w:fill="F4F9FC"/>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Authoritative implementation contract</w:t>
            </w:r>
          </w:p>
        </w:tc>
      </w:tr>
      <w:tr>
        <w:tc>
          <w:tcPr>
            <w:tcW w:type="dxa" w:w="2376"/>
            <w:tcMar>
              <w:top w:w="75" w:type="dxa"/>
              <w:start w:w="100" w:type="dxa"/>
              <w:bottom w:w="75" w:type="dxa"/>
              <w:end w:w="100" w:type="dxa"/>
            </w:tcMar>
            <w:shd w:fill="EAF4FB"/>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Supersedes</w:t>
            </w:r>
          </w:p>
        </w:tc>
        <w:tc>
          <w:tcPr>
            <w:tcW w:type="dxa" w:w="7128"/>
            <w:tcMar>
              <w:top w:w="75" w:type="dxa"/>
              <w:start w:w="100" w:type="dxa"/>
              <w:bottom w:w="75" w:type="dxa"/>
              <w:end w:w="100" w:type="dxa"/>
            </w:tcMa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Optimise_Integration_Spec.docx (v1)</w:t>
            </w:r>
          </w:p>
        </w:tc>
      </w:tr>
    </w:tbl>
    <w:p>
      <w:pPr>
        <w:keepNext w:val="0"/>
        <w:keepLines w:val="0"/>
        <w:spacing w:before="0" w:after="20" w:line="276" w:lineRule="auto"/>
      </w:pPr>
      <w:r>
        <w:rPr>
          <w:rFonts w:ascii="Arial" w:hAnsi="Arial"/>
          <w:b w:val="0"/>
          <w:i w:val="0"/>
          <w:color w:val="17324D"/>
          <w:sz w:val="2"/>
        </w:rPr>
      </w:r>
    </w:p>
    <w:p>
      <w:pPr>
        <w:keepNext w:val="0"/>
        <w:keepLines w:val="0"/>
        <w:spacing w:before="100" w:after="0" w:line="240" w:lineRule="auto"/>
        <w:jc w:val="center"/>
      </w:pPr>
      <w:r>
        <w:rPr>
          <w:rFonts w:ascii="Arial" w:hAnsi="Arial"/>
          <w:i/>
          <w:color w:val="496578"/>
          <w:sz w:val="17"/>
        </w:rPr>
        <w:t>Source files reviewed: Optimise integration specification, dashboard database specification, EFS Optimise package and Ver1 portal package.</w:t>
      </w:r>
    </w:p>
    <w:p>
      <w:r>
        <w:br w:type="page"/>
      </w:r>
    </w:p>
    <w:p>
      <w:pPr>
        <w:pStyle w:val="Heading1"/>
        <w:keepNext/>
        <w:keepLines w:val="0"/>
        <w:pageBreakBefore w:val="0"/>
        <w:spacing w:before="160" w:after="100" w:line="240" w:lineRule="auto"/>
      </w:pPr>
      <w:r>
        <w:rPr>
          <w:rFonts w:ascii="Arial" w:hAnsi="Arial"/>
          <w:b/>
          <w:color w:val="003A66"/>
          <w:sz w:val="34"/>
        </w:rPr>
        <w:t>1. Alignment decision and required model</w:t>
      </w:r>
    </w:p>
    <w:tbl>
      <w:tblPr>
        <w:tblW w:type="auto" w:w="0"/>
        <w:jc w:val="center"/>
        <w:tblLayout w:type="fixed"/>
        <w:tblLook w:firstColumn="1" w:firstRow="1" w:lastColumn="0" w:lastRow="0" w:noHBand="0" w:noVBand="1" w:val="04A0"/>
      </w:tblPr>
      <w:tblGrid>
        <w:gridCol w:w="10080"/>
      </w:tblGrid>
      <w:tr>
        <w:tc>
          <w:tcPr>
            <w:tcW w:type="dxa" w:w="9864"/>
            <w:shd w:fill="EAF4FB"/>
            <w:tcMar>
              <w:top w:w="150" w:type="dxa"/>
              <w:start w:w="190" w:type="dxa"/>
              <w:bottom w:w="150" w:type="dxa"/>
              <w:end w:w="190" w:type="dxa"/>
            </w:tcMar>
            <w:tcBorders>
              <w:top w:val="single" w:sz="3" w:color="EAF4FB"/>
              <w:bottom w:val="single" w:sz="3" w:color="EAF4FB"/>
              <w:start w:val="single" w:sz="22" w:color="0078C7"/>
              <w:end w:val="single" w:sz="3" w:color="EAF4FB"/>
            </w:tcBorders>
          </w:tcPr>
          <w:p>
            <w:pPr>
              <w:keepNext/>
              <w:keepLines w:val="0"/>
              <w:spacing w:before="0" w:after="80" w:line="240" w:lineRule="auto"/>
            </w:pPr>
            <w:r>
              <w:rPr>
                <w:rFonts w:ascii="Arial" w:hAnsi="Arial"/>
                <w:b/>
                <w:color w:val="003A66"/>
                <w:sz w:val="22"/>
              </w:rPr>
              <w:t>Answer to the dashboard-date question</w:t>
            </w:r>
          </w:p>
          <w:p>
            <w:pPr>
              <w:keepNext w:val="0"/>
              <w:keepLines w:val="0"/>
              <w:spacing w:before="0" w:after="0" w:line="274" w:lineRule="auto"/>
            </w:pPr>
            <w:r>
              <w:rPr>
                <w:rFonts w:ascii="Arial" w:hAnsi="Arial"/>
                <w:color w:val="17324D"/>
                <w:sz w:val="20"/>
              </w:rPr>
              <w:t>A date column is not required merely because a table exists. Event feeds require the event date that defines activity. Mutable state feeds require an effective or observation date so the portal can reconstruct the state at a selected end date. Every feed requires source_updated_at so incremental pulls and updates are reliable.</w:t>
            </w:r>
          </w:p>
        </w:tc>
      </w:tr>
    </w:tbl>
    <w:p>
      <w:pPr>
        <w:keepNext w:val="0"/>
        <w:keepLines w:val="0"/>
        <w:spacing w:before="0" w:after="6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1.1 Three date classes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43"/>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Date class</w:t>
            </w:r>
          </w:p>
        </w:tc>
        <w:tc>
          <w:tcPr>
            <w:tcW w:type="dxa" w:w="227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Question answered</w:t>
            </w:r>
          </w:p>
        </w:tc>
        <w:tc>
          <w:tcPr>
            <w:tcW w:type="dxa" w:w="30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Examples</w:t>
            </w:r>
          </w:p>
        </w:tc>
        <w:tc>
          <w:tcPr>
            <w:tcW w:type="dxa" w:w="2649"/>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Portal use</w:t>
            </w:r>
          </w:p>
        </w:tc>
      </w:tr>
      <w:tr>
        <w:trPr>
          <w:cantSplit/>
        </w:trPr>
        <w:tc>
          <w:tcPr>
            <w:tcW w:type="dxa" w:w="1843"/>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Business event</w:t>
            </w:r>
          </w:p>
        </w:tc>
        <w:tc>
          <w:tcPr>
            <w:tcW w:type="dxa" w:w="227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When did activity happen?</w:t>
            </w:r>
          </w:p>
        </w:tc>
        <w:tc>
          <w:tcPr>
            <w:tcW w:type="dxa" w:w="30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enrolled_at, completed_at, created_at, started_at, shared_at, advanced_at</w:t>
            </w:r>
          </w:p>
        </w:tc>
        <w:tc>
          <w:tcPr>
            <w:tcW w:type="dxa" w:w="2649"/>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Flow metrics inside the selected window</w:t>
            </w:r>
          </w:p>
        </w:tc>
      </w:tr>
      <w:tr>
        <w:trPr>
          <w:cantSplit/>
        </w:trPr>
        <w:tc>
          <w:tcPr>
            <w:tcW w:type="dxa" w:w="1843"/>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Effective / observation</w:t>
            </w:r>
          </w:p>
        </w:tc>
        <w:tc>
          <w:tcPr>
            <w:tcW w:type="dxa" w:w="227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What state was true as at the end date?</w:t>
            </w:r>
          </w:p>
        </w:tc>
        <w:tc>
          <w:tcPr>
            <w:tcW w:type="dxa" w:w="30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as_of_date, observed_at, eligible_from/to, closed_at, effective_from/to, resolved_at</w:t>
            </w:r>
          </w:p>
        </w:tc>
        <w:tc>
          <w:tcPr>
            <w:tcW w:type="dxa" w:w="2649"/>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Stock metrics at the selected end date</w:t>
            </w:r>
          </w:p>
        </w:tc>
      </w:tr>
      <w:tr>
        <w:trPr>
          <w:cantSplit/>
        </w:trPr>
        <w:tc>
          <w:tcPr>
            <w:tcW w:type="dxa" w:w="1843"/>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source time</w:t>
            </w:r>
          </w:p>
        </w:tc>
        <w:tc>
          <w:tcPr>
            <w:tcW w:type="dxa" w:w="227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When did the source record last change?</w:t>
            </w:r>
          </w:p>
        </w:tc>
        <w:tc>
          <w:tcPr>
            <w:tcW w:type="dxa" w:w="30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 on every feed</w:t>
            </w:r>
          </w:p>
        </w:tc>
        <w:tc>
          <w:tcPr>
            <w:tcW w:type="dxa" w:w="2649"/>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Incremental extraction, freshness and last-write ordering only</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1.2 Material v1 gaps and v2 resolutions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95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v1 issue</w:t>
            </w:r>
          </w:p>
        </w:tc>
        <w:tc>
          <w:tcPr>
            <w:tcW w:type="dxa" w:w="3139"/>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Impact</w:t>
            </w:r>
          </w:p>
        </w:tc>
        <w:tc>
          <w:tcPr>
            <w:tcW w:type="dxa" w:w="3772"/>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v2 resolution</w:t>
            </w:r>
          </w:p>
        </w:tc>
      </w:tr>
      <w:tr>
        <w:trPr>
          <w:cantSplit/>
        </w:trPr>
        <w:tc>
          <w:tcPr>
            <w:tcW w:type="dxa" w:w="295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headcount had no as-of history</w:t>
            </w:r>
          </w:p>
        </w:tc>
        <w:tc>
          <w:tcPr>
            <w:tcW w:type="dxa" w:w="3139"/>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Historical ratios used today’s denominator</w:t>
            </w:r>
          </w:p>
        </w:tc>
        <w:tc>
          <w:tcPr>
            <w:tcW w:type="dxa" w:w="37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New workforce_snapshots feed keyed by employer_ref + as_of_date</w:t>
            </w:r>
          </w:p>
        </w:tc>
      </w:tr>
      <w:tr>
        <w:trPr>
          <w:cantSplit/>
        </w:trPr>
        <w:tc>
          <w:tcPr>
            <w:tcW w:type="dxa" w:w="295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Site, income and eligibility were overwritten</w:t>
            </w:r>
          </w:p>
        </w:tc>
        <w:tc>
          <w:tcPr>
            <w:tcW w:type="dxa" w:w="3139"/>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Past cohort filters could use the employee’s current state</w:t>
            </w:r>
          </w:p>
        </w:tc>
        <w:tc>
          <w:tcPr>
            <w:tcW w:type="dxa" w:w="37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Dated employee observations plus eligible_from / inclusive eligible_to</w:t>
            </w:r>
          </w:p>
        </w:tc>
      </w:tr>
      <w:tr>
        <w:trPr>
          <w:cantSplit/>
        </w:trPr>
        <w:tc>
          <w:tcPr>
            <w:tcW w:type="dxa" w:w="295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Debt and policy records were current-only</w:t>
            </w:r>
          </w:p>
        </w:tc>
        <w:tc>
          <w:tcPr>
            <w:tcW w:type="dxa" w:w="3139"/>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Past balances, arrears and cover state could be projected backwards</w:t>
            </w:r>
          </w:p>
        </w:tc>
        <w:tc>
          <w:tcPr>
            <w:tcW w:type="dxa" w:w="37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Immutable observed versions and business closure/effective dates</w:t>
            </w:r>
          </w:p>
        </w:tc>
      </w:tr>
      <w:tr>
        <w:trPr>
          <w:cantSplit/>
        </w:trPr>
        <w:tc>
          <w:tcPr>
            <w:tcW w:type="dxa" w:w="295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since was recommended without a technical timestamp</w:t>
            </w:r>
          </w:p>
        </w:tc>
        <w:tc>
          <w:tcPr>
            <w:tcW w:type="dxa" w:w="3139"/>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Incremental pulls could miss updates</w:t>
            </w:r>
          </w:p>
        </w:tc>
        <w:tc>
          <w:tcPr>
            <w:tcW w:type="dxa" w:w="37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Required timezone-qualified source_updated_at on all 11 feeds</w:t>
            </w:r>
          </w:p>
        </w:tc>
      </w:tr>
      <w:tr>
        <w:trPr>
          <w:cantSplit/>
        </w:trPr>
        <w:tc>
          <w:tcPr>
            <w:tcW w:type="dxa" w:w="295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Chat and EWA lacked payroll_ref</w:t>
            </w:r>
          </w:p>
        </w:tc>
        <w:tc>
          <w:tcPr>
            <w:tcW w:type="dxa" w:w="3139"/>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Site/income filters could not be applied honestly</w:t>
            </w:r>
          </w:p>
        </w:tc>
        <w:tc>
          <w:tcPr>
            <w:tcW w:type="dxa" w:w="37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Required tokenised payroll_ref and employee relations</w:t>
            </w:r>
          </w:p>
        </w:tc>
      </w:tr>
      <w:tr>
        <w:trPr>
          <w:cantSplit/>
        </w:trPr>
        <w:tc>
          <w:tcPr>
            <w:tcW w:type="dxa" w:w="295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EWA advanced_at was optional</w:t>
            </w:r>
          </w:p>
        </w:tc>
        <w:tc>
          <w:tcPr>
            <w:tcW w:type="dxa" w:w="3139"/>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Import time could distort monthly trends</w:t>
            </w:r>
          </w:p>
        </w:tc>
        <w:tc>
          <w:tcPr>
            <w:tcW w:type="dxa" w:w="37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advanced_at is mandatory; import date is never substituted</w:t>
            </w:r>
          </w:p>
        </w:tc>
      </w:tr>
      <w:tr>
        <w:trPr>
          <w:cantSplit/>
        </w:trPr>
        <w:tc>
          <w:tcPr>
            <w:tcW w:type="dxa" w:w="295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Historical payloads were partial and merged with demo values</w:t>
            </w:r>
          </w:p>
        </w:tc>
        <w:tc>
          <w:tcPr>
            <w:tcW w:type="dxa" w:w="3139"/>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Some widgets could show current or simulated data</w:t>
            </w:r>
          </w:p>
        </w:tc>
        <w:tc>
          <w:tcPr>
            <w:tcW w:type="dxa" w:w="37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Complete saved payloads; live data never merges with demo data</w:t>
            </w:r>
          </w:p>
        </w:tc>
      </w:tr>
      <w:tr>
        <w:trPr>
          <w:cantSplit/>
        </w:trPr>
        <w:tc>
          <w:tcPr>
            <w:tcW w:type="dxa" w:w="295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Portfolio used a separate simulated dataset</w:t>
            </w:r>
          </w:p>
        </w:tc>
        <w:tc>
          <w:tcPr>
            <w:tcW w:type="dxa" w:w="3139"/>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and portfolio views could disagree</w:t>
            </w:r>
          </w:p>
        </w:tc>
        <w:tc>
          <w:tcPr>
            <w:tcW w:type="dxa" w:w="37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Both use the same dated calculation engine</w:t>
            </w:r>
          </w:p>
        </w:tc>
      </w:tr>
      <w:tr>
        <w:trPr>
          <w:cantSplit/>
        </w:trPr>
        <w:tc>
          <w:tcPr>
            <w:tcW w:type="dxa" w:w="295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month used a future month-end boundary</w:t>
            </w:r>
          </w:p>
        </w:tc>
        <w:tc>
          <w:tcPr>
            <w:tcW w:type="dxa" w:w="3139"/>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Future-dated state could leak into month-to-date reporting</w:t>
            </w:r>
          </w:p>
        </w:tc>
        <w:tc>
          <w:tcPr>
            <w:tcW w:type="dxa" w:w="37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month is calculated through now; closed months use month-end</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1.3 Portal outcome</w:t>
      </w:r>
    </w:p>
    <w:p>
      <w:pPr>
        <w:pStyle w:val="ListBullet"/>
        <w:keepNext w:val="0"/>
        <w:keepLines w:val="0"/>
        <w:spacing w:before="0" w:after="40" w:line="269" w:lineRule="auto"/>
      </w:pPr>
      <w:r>
        <w:rPr>
          <w:rFonts w:ascii="Arial" w:hAnsi="Arial"/>
          <w:color w:val="17324D"/>
          <w:sz w:val="20"/>
        </w:rPr>
        <w:t>Employer dashboards, saved monthly snapshots and portfolio rows use one calculation service.</w:t>
      </w:r>
    </w:p>
    <w:p>
      <w:pPr>
        <w:pStyle w:val="ListBullet"/>
        <w:keepNext w:val="0"/>
        <w:keepLines w:val="0"/>
        <w:spacing w:before="0" w:after="40" w:line="269" w:lineRule="auto"/>
      </w:pPr>
      <w:r>
        <w:rPr>
          <w:rFonts w:ascii="Arial" w:hAnsi="Arial"/>
          <w:color w:val="17324D"/>
          <w:sz w:val="20"/>
        </w:rPr>
        <w:t>Period/range/site/income selections are real API filters, not display-only labels.</w:t>
      </w:r>
    </w:p>
    <w:p>
      <w:pPr>
        <w:pStyle w:val="ListBullet"/>
        <w:keepNext w:val="0"/>
        <w:keepLines w:val="0"/>
        <w:spacing w:before="0" w:after="40" w:line="269" w:lineRule="auto"/>
      </w:pPr>
      <w:r>
        <w:rPr>
          <w:rFonts w:ascii="Arial" w:hAnsi="Arial"/>
          <w:color w:val="17324D"/>
          <w:sz w:val="20"/>
        </w:rPr>
        <w:t>The API returns filterContext and dataQuality warnings so users can see the applied rule and any backfill gap.</w:t>
      </w:r>
    </w:p>
    <w:p>
      <w:pPr>
        <w:pStyle w:val="ListBullet"/>
        <w:keepNext w:val="0"/>
        <w:keepLines w:val="0"/>
        <w:spacing w:before="0" w:after="40" w:line="269" w:lineRule="auto"/>
      </w:pPr>
      <w:r>
        <w:rPr>
          <w:rFonts w:ascii="Arial" w:hAnsi="Arial"/>
          <w:color w:val="17324D"/>
          <w:sz w:val="20"/>
        </w:rPr>
        <w:t>Production live-data failures show an unavailable state. Static demonstration data is only available with ?demo=1.</w:t>
      </w:r>
    </w:p>
    <w:p>
      <w:pPr>
        <w:pStyle w:val="ListBullet"/>
        <w:keepNext w:val="0"/>
        <w:keepLines w:val="0"/>
        <w:spacing w:before="0" w:after="40" w:line="269" w:lineRule="auto"/>
      </w:pPr>
      <w:r>
        <w:rPr>
          <w:rFonts w:ascii="Arial" w:hAnsi="Arial"/>
          <w:color w:val="17324D"/>
          <w:sz w:val="20"/>
        </w:rPr>
        <w:t>A workforce snapshot/detail mismatch is surfaced for reconciliation rather than hidden.</w:t>
      </w:r>
    </w:p>
    <w:p>
      <w:pPr>
        <w:pStyle w:val="Heading1"/>
        <w:keepNext/>
        <w:keepLines w:val="0"/>
        <w:pageBreakBefore w:val="0"/>
        <w:spacing w:before="160" w:after="100" w:line="240" w:lineRule="auto"/>
      </w:pPr>
      <w:r>
        <w:rPr>
          <w:rFonts w:ascii="Arial" w:hAnsi="Arial"/>
          <w:b/>
          <w:color w:val="003A66"/>
          <w:sz w:val="34"/>
        </w:rPr>
        <w:t>2. Purpose, architecture and security</w:t>
      </w:r>
    </w:p>
    <w:p>
      <w:pPr>
        <w:keepNext w:val="0"/>
        <w:keepLines w:val="0"/>
        <w:spacing w:before="0" w:after="120" w:line="276" w:lineRule="auto"/>
      </w:pPr>
      <w:r>
        <w:rPr>
          <w:rFonts w:ascii="Arial" w:hAnsi="Arial"/>
          <w:b w:val="0"/>
          <w:i w:val="0"/>
          <w:color w:val="17324D"/>
          <w:sz w:val="21"/>
        </w:rPr>
        <w:t>Optimise pulls read-only source records on a schedule. The source exposes one endpoint per report and returns source-level records. Optimise validates, source-orders, upserts and derives the dashboard aggregates. Manual CSV/XLSX imports use the same report definitions, validation and commit service as API JSON.</w:t>
      </w:r>
    </w:p>
    <w:p>
      <w:pPr>
        <w:pStyle w:val="Heading2"/>
        <w:keepNext/>
        <w:keepLines w:val="0"/>
        <w:pageBreakBefore w:val="0"/>
        <w:spacing w:before="120" w:after="100" w:line="240" w:lineRule="auto"/>
      </w:pPr>
      <w:r>
        <w:rPr>
          <w:rFonts w:ascii="Arial" w:hAnsi="Arial"/>
          <w:b/>
          <w:color w:val="003A66"/>
          <w:sz w:val="26"/>
        </w:rPr>
        <w:t>2.1 Data flow</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972"/>
            <w:shd w:fill="EAF4FB"/>
            <w:tcMar>
              <w:top w:w="130" w:type="dxa"/>
              <w:start w:w="80" w:type="dxa"/>
              <w:bottom w:w="130" w:type="dxa"/>
              <w:end w:w="80" w:type="dxa"/>
            </w:tcMar>
            <w:vAlign w:val="center"/>
            <w:tcBorders>
              <w:top w:val="single" w:sz="5" w:color="B9CBD8"/>
              <w:bottom w:val="single" w:sz="5" w:color="B9CBD8"/>
              <w:start w:val="single" w:sz="5" w:color="B9CBD8"/>
              <w:end w:val="single" w:sz="5" w:color="B9CBD8"/>
            </w:tcBorders>
          </w:tcPr>
          <w:p>
            <w:pPr>
              <w:keepNext w:val="0"/>
              <w:keepLines w:val="0"/>
              <w:spacing w:before="0" w:after="60" w:line="240" w:lineRule="auto"/>
              <w:jc w:val="center"/>
            </w:pPr>
            <w:r>
              <w:rPr>
                <w:rFonts w:ascii="Arial" w:hAnsi="Arial"/>
                <w:b/>
                <w:color w:val="0078C7"/>
                <w:sz w:val="25"/>
              </w:rPr>
              <w:t>1</w:t>
            </w:r>
          </w:p>
          <w:p>
            <w:pPr>
              <w:keepNext w:val="0"/>
              <w:keepLines w:val="0"/>
              <w:spacing w:before="0" w:after="60" w:line="240" w:lineRule="auto"/>
              <w:jc w:val="center"/>
            </w:pPr>
            <w:r>
              <w:rPr>
                <w:rFonts w:ascii="Arial" w:hAnsi="Arial"/>
                <w:b/>
                <w:color w:val="003A66"/>
                <w:sz w:val="19"/>
              </w:rPr>
              <w:t>Source systems</w:t>
            </w:r>
          </w:p>
          <w:p>
            <w:pPr>
              <w:keepNext w:val="0"/>
              <w:keepLines w:val="0"/>
              <w:spacing w:before="0" w:after="0" w:line="252" w:lineRule="auto"/>
              <w:jc w:val="center"/>
            </w:pPr>
            <w:r>
              <w:rPr>
                <w:rFonts w:ascii="Arial" w:hAnsi="Arial"/>
                <w:color w:val="17324D"/>
                <w:sz w:val="16"/>
              </w:rPr>
              <w:t>Payroll, platform, debt, cover, chat and EWA</w:t>
            </w:r>
          </w:p>
        </w:tc>
        <w:tc>
          <w:tcPr>
            <w:tcW w:type="dxa" w:w="1972"/>
            <w:shd w:fill="F4F9FC"/>
            <w:tcMar>
              <w:top w:w="130" w:type="dxa"/>
              <w:start w:w="80" w:type="dxa"/>
              <w:bottom w:w="130" w:type="dxa"/>
              <w:end w:w="80" w:type="dxa"/>
            </w:tcMar>
            <w:vAlign w:val="center"/>
            <w:tcBorders>
              <w:top w:val="single" w:sz="5" w:color="B9CBD8"/>
              <w:bottom w:val="single" w:sz="5" w:color="B9CBD8"/>
              <w:start w:val="single" w:sz="5" w:color="B9CBD8"/>
              <w:end w:val="single" w:sz="5" w:color="B9CBD8"/>
            </w:tcBorders>
          </w:tcPr>
          <w:p>
            <w:pPr>
              <w:keepNext w:val="0"/>
              <w:keepLines w:val="0"/>
              <w:spacing w:before="0" w:after="60" w:line="240" w:lineRule="auto"/>
              <w:jc w:val="center"/>
            </w:pPr>
            <w:r>
              <w:rPr>
                <w:rFonts w:ascii="Arial" w:hAnsi="Arial"/>
                <w:b/>
                <w:color w:val="0078C7"/>
                <w:sz w:val="25"/>
              </w:rPr>
              <w:t>2</w:t>
            </w:r>
          </w:p>
          <w:p>
            <w:pPr>
              <w:keepNext w:val="0"/>
              <w:keepLines w:val="0"/>
              <w:spacing w:before="0" w:after="60" w:line="240" w:lineRule="auto"/>
              <w:jc w:val="center"/>
            </w:pPr>
            <w:r>
              <w:rPr>
                <w:rFonts w:ascii="Arial" w:hAnsi="Arial"/>
                <w:b/>
                <w:color w:val="003A66"/>
                <w:sz w:val="19"/>
              </w:rPr>
              <w:t>Read-only pull</w:t>
            </w:r>
          </w:p>
          <w:p>
            <w:pPr>
              <w:keepNext w:val="0"/>
              <w:keepLines w:val="0"/>
              <w:spacing w:before="0" w:after="0" w:line="252" w:lineRule="auto"/>
              <w:jc w:val="center"/>
            </w:pPr>
            <w:r>
              <w:rPr>
                <w:rFonts w:ascii="Arial" w:hAnsi="Arial"/>
                <w:color w:val="17324D"/>
                <w:sz w:val="16"/>
              </w:rPr>
              <w:t>11 bearer-token endpoints with since / through</w:t>
            </w:r>
          </w:p>
        </w:tc>
        <w:tc>
          <w:tcPr>
            <w:tcW w:type="dxa" w:w="1972"/>
            <w:shd w:fill="EAF4FB"/>
            <w:tcMar>
              <w:top w:w="130" w:type="dxa"/>
              <w:start w:w="80" w:type="dxa"/>
              <w:bottom w:w="130" w:type="dxa"/>
              <w:end w:w="80" w:type="dxa"/>
            </w:tcMar>
            <w:vAlign w:val="center"/>
            <w:tcBorders>
              <w:top w:val="single" w:sz="5" w:color="B9CBD8"/>
              <w:bottom w:val="single" w:sz="5" w:color="B9CBD8"/>
              <w:start w:val="single" w:sz="5" w:color="B9CBD8"/>
              <w:end w:val="single" w:sz="5" w:color="B9CBD8"/>
            </w:tcBorders>
          </w:tcPr>
          <w:p>
            <w:pPr>
              <w:keepNext w:val="0"/>
              <w:keepLines w:val="0"/>
              <w:spacing w:before="0" w:after="60" w:line="240" w:lineRule="auto"/>
              <w:jc w:val="center"/>
            </w:pPr>
            <w:r>
              <w:rPr>
                <w:rFonts w:ascii="Arial" w:hAnsi="Arial"/>
                <w:b/>
                <w:color w:val="0078C7"/>
                <w:sz w:val="25"/>
              </w:rPr>
              <w:t>3</w:t>
            </w:r>
          </w:p>
          <w:p>
            <w:pPr>
              <w:keepNext w:val="0"/>
              <w:keepLines w:val="0"/>
              <w:spacing w:before="0" w:after="60" w:line="240" w:lineRule="auto"/>
              <w:jc w:val="center"/>
            </w:pPr>
            <w:r>
              <w:rPr>
                <w:rFonts w:ascii="Arial" w:hAnsi="Arial"/>
                <w:b/>
                <w:color w:val="003A66"/>
                <w:sz w:val="19"/>
              </w:rPr>
              <w:t>Shared contract</w:t>
            </w:r>
          </w:p>
          <w:p>
            <w:pPr>
              <w:keepNext w:val="0"/>
              <w:keepLines w:val="0"/>
              <w:spacing w:before="0" w:after="0" w:line="252" w:lineRule="auto"/>
              <w:jc w:val="center"/>
            </w:pPr>
            <w:r>
              <w:rPr>
                <w:rFonts w:ascii="Arial" w:hAnsi="Arial"/>
                <w:color w:val="17324D"/>
                <w:sz w:val="16"/>
              </w:rPr>
              <w:t>CSV, XLSX and JSON pass one validator</w:t>
            </w:r>
          </w:p>
        </w:tc>
        <w:tc>
          <w:tcPr>
            <w:tcW w:type="dxa" w:w="1972"/>
            <w:shd w:fill="F4F9FC"/>
            <w:tcMar>
              <w:top w:w="130" w:type="dxa"/>
              <w:start w:w="80" w:type="dxa"/>
              <w:bottom w:w="130" w:type="dxa"/>
              <w:end w:w="80" w:type="dxa"/>
            </w:tcMar>
            <w:vAlign w:val="center"/>
            <w:tcBorders>
              <w:top w:val="single" w:sz="5" w:color="B9CBD8"/>
              <w:bottom w:val="single" w:sz="5" w:color="B9CBD8"/>
              <w:start w:val="single" w:sz="5" w:color="B9CBD8"/>
              <w:end w:val="single" w:sz="5" w:color="B9CBD8"/>
            </w:tcBorders>
          </w:tcPr>
          <w:p>
            <w:pPr>
              <w:keepNext w:val="0"/>
              <w:keepLines w:val="0"/>
              <w:spacing w:before="0" w:after="60" w:line="240" w:lineRule="auto"/>
              <w:jc w:val="center"/>
            </w:pPr>
            <w:r>
              <w:rPr>
                <w:rFonts w:ascii="Arial" w:hAnsi="Arial"/>
                <w:b/>
                <w:color w:val="0078C7"/>
                <w:sz w:val="25"/>
              </w:rPr>
              <w:t>4</w:t>
            </w:r>
          </w:p>
          <w:p>
            <w:pPr>
              <w:keepNext w:val="0"/>
              <w:keepLines w:val="0"/>
              <w:spacing w:before="0" w:after="60" w:line="240" w:lineRule="auto"/>
              <w:jc w:val="center"/>
            </w:pPr>
            <w:r>
              <w:rPr>
                <w:rFonts w:ascii="Arial" w:hAnsi="Arial"/>
                <w:b/>
                <w:color w:val="003A66"/>
                <w:sz w:val="19"/>
              </w:rPr>
              <w:t>Dated database</w:t>
            </w:r>
          </w:p>
          <w:p>
            <w:pPr>
              <w:keepNext w:val="0"/>
              <w:keepLines w:val="0"/>
              <w:spacing w:before="0" w:after="0" w:line="252" w:lineRule="auto"/>
              <w:jc w:val="center"/>
            </w:pPr>
            <w:r>
              <w:rPr>
                <w:rFonts w:ascii="Arial" w:hAnsi="Arial"/>
                <w:color w:val="17324D"/>
                <w:sz w:val="16"/>
              </w:rPr>
              <w:t>Current projections plus immutable observations</w:t>
            </w:r>
          </w:p>
        </w:tc>
        <w:tc>
          <w:tcPr>
            <w:tcW w:type="dxa" w:w="1972"/>
            <w:shd w:fill="EAF4FB"/>
            <w:tcMar>
              <w:top w:w="130" w:type="dxa"/>
              <w:start w:w="80" w:type="dxa"/>
              <w:bottom w:w="130" w:type="dxa"/>
              <w:end w:w="80" w:type="dxa"/>
            </w:tcMar>
            <w:vAlign w:val="center"/>
            <w:tcBorders>
              <w:top w:val="single" w:sz="5" w:color="B9CBD8"/>
              <w:bottom w:val="single" w:sz="5" w:color="B9CBD8"/>
              <w:start w:val="single" w:sz="5" w:color="B9CBD8"/>
              <w:end w:val="single" w:sz="5" w:color="B9CBD8"/>
            </w:tcBorders>
          </w:tcPr>
          <w:p>
            <w:pPr>
              <w:keepNext w:val="0"/>
              <w:keepLines w:val="0"/>
              <w:spacing w:before="0" w:after="60" w:line="240" w:lineRule="auto"/>
              <w:jc w:val="center"/>
            </w:pPr>
            <w:r>
              <w:rPr>
                <w:rFonts w:ascii="Arial" w:hAnsi="Arial"/>
                <w:b/>
                <w:color w:val="0078C7"/>
                <w:sz w:val="25"/>
              </w:rPr>
              <w:t>5</w:t>
            </w:r>
          </w:p>
          <w:p>
            <w:pPr>
              <w:keepNext w:val="0"/>
              <w:keepLines w:val="0"/>
              <w:spacing w:before="0" w:after="60" w:line="240" w:lineRule="auto"/>
              <w:jc w:val="center"/>
            </w:pPr>
            <w:r>
              <w:rPr>
                <w:rFonts w:ascii="Arial" w:hAnsi="Arial"/>
                <w:b/>
                <w:color w:val="003A66"/>
                <w:sz w:val="19"/>
              </w:rPr>
              <w:t>One calculator</w:t>
            </w:r>
          </w:p>
          <w:p>
            <w:pPr>
              <w:keepNext w:val="0"/>
              <w:keepLines w:val="0"/>
              <w:spacing w:before="0" w:after="0" w:line="252" w:lineRule="auto"/>
              <w:jc w:val="center"/>
            </w:pPr>
            <w:r>
              <w:rPr>
                <w:rFonts w:ascii="Arial" w:hAnsi="Arial"/>
                <w:color w:val="17324D"/>
                <w:sz w:val="16"/>
              </w:rPr>
              <w:t>Employer, snapshot and portfolio payloads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2.2 Interface conventions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Convention</w:t>
            </w:r>
          </w:p>
        </w:tc>
        <w:tc>
          <w:tcPr>
            <w:tcW w:type="dxa" w:w="756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Requirement</w:t>
            </w:r>
          </w:p>
        </w:tc>
      </w:tr>
      <w:tr>
        <w:trPr>
          <w:cantSplit/>
        </w:trPr>
        <w:tc>
          <w:tcPr>
            <w:tcW w:type="dxa" w:w="230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Direction</w:t>
            </w:r>
          </w:p>
        </w:tc>
        <w:tc>
          <w:tcPr>
            <w:tcW w:type="dxa" w:w="756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Optimise pulls. The source does not push.</w:t>
            </w:r>
          </w:p>
        </w:tc>
      </w:tr>
      <w:tr>
        <w:trPr>
          <w:cantSplit/>
        </w:trPr>
        <w:tc>
          <w:tcPr>
            <w:tcW w:type="dxa" w:w="230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Authentication</w:t>
            </w:r>
          </w:p>
        </w:tc>
        <w:tc>
          <w:tcPr>
            <w:tcW w:type="dxa" w:w="756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Bearer token on every report endpoint.</w:t>
            </w:r>
          </w:p>
        </w:tc>
      </w:tr>
      <w:tr>
        <w:trPr>
          <w:cantSplit/>
        </w:trPr>
        <w:tc>
          <w:tcPr>
            <w:tcW w:type="dxa" w:w="230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Response envelope</w:t>
            </w:r>
          </w:p>
        </w:tc>
        <w:tc>
          <w:tcPr>
            <w:tcW w:type="dxa" w:w="756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 "records": [ ... ] }</w:t>
            </w:r>
          </w:p>
        </w:tc>
      </w:tr>
      <w:tr>
        <w:trPr>
          <w:cantSplit/>
        </w:trPr>
        <w:tc>
          <w:tcPr>
            <w:tcW w:type="dxa" w:w="230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Money</w:t>
            </w:r>
          </w:p>
        </w:tc>
        <w:tc>
          <w:tcPr>
            <w:tcW w:type="dxa" w:w="756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Plain rand decimals externally; integer cents internally.</w:t>
            </w:r>
          </w:p>
        </w:tc>
      </w:tr>
      <w:tr>
        <w:trPr>
          <w:cantSplit/>
        </w:trPr>
        <w:tc>
          <w:tcPr>
            <w:tcW w:type="dxa" w:w="230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Linking</w:t>
            </w:r>
          </w:p>
        </w:tc>
        <w:tc>
          <w:tcPr>
            <w:tcW w:type="dxa" w:w="756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Stable employer_ref and tokenised payroll_ref; never employee names or national IDs.</w:t>
            </w:r>
          </w:p>
        </w:tc>
      </w:tr>
      <w:tr>
        <w:trPr>
          <w:cantSplit/>
        </w:trPr>
        <w:tc>
          <w:tcPr>
            <w:tcW w:type="dxa" w:w="230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Nulls</w:t>
            </w:r>
          </w:p>
        </w:tc>
        <w:tc>
          <w:tcPr>
            <w:tcW w:type="dxa" w:w="756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Omit optional values or send JSON null; never empty strings in API JSON.</w:t>
            </w:r>
          </w:p>
        </w:tc>
      </w:tr>
      <w:tr>
        <w:trPr>
          <w:cantSplit/>
        </w:trPr>
        <w:tc>
          <w:tcPr>
            <w:tcW w:type="dxa" w:w="230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Enums</w:t>
            </w:r>
          </w:p>
        </w:tc>
        <w:tc>
          <w:tcPr>
            <w:tcW w:type="dxa" w:w="756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Exact and case-sensitive; uppercase unless a field is explicitly free text.</w:t>
            </w:r>
          </w:p>
        </w:tc>
      </w:tr>
      <w:tr>
        <w:trPr>
          <w:cantSplit/>
        </w:trPr>
        <w:tc>
          <w:tcPr>
            <w:tcW w:type="dxa" w:w="230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Transport</w:t>
            </w:r>
          </w:p>
        </w:tc>
        <w:tc>
          <w:tcPr>
            <w:tcW w:type="dxa" w:w="756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HTTPS in production; read-only endpoints; reasonable page/response limits agreed before go-live.</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2.3 Portal and session security</w:t>
      </w:r>
    </w:p>
    <w:p>
      <w:pPr>
        <w:pStyle w:val="ListBullet"/>
        <w:keepNext w:val="0"/>
        <w:keepLines w:val="0"/>
        <w:spacing w:before="0" w:after="40" w:line="269" w:lineRule="auto"/>
      </w:pPr>
      <w:r>
        <w:rPr>
          <w:rFonts w:ascii="Arial" w:hAnsi="Arial"/>
          <w:color w:val="17324D"/>
          <w:sz w:val="20"/>
        </w:rPr>
        <w:t>Dashboard, portfolio, admin and user routes are authenticated and employer-scoped.</w:t>
      </w:r>
    </w:p>
    <w:p>
      <w:pPr>
        <w:pStyle w:val="ListBullet"/>
        <w:keepNext w:val="0"/>
        <w:keepLines w:val="0"/>
        <w:spacing w:before="0" w:after="40" w:line="269" w:lineRule="auto"/>
      </w:pPr>
      <w:r>
        <w:rPr>
          <w:rFonts w:ascii="Arial" w:hAnsi="Arial"/>
          <w:color w:val="17324D"/>
          <w:sz w:val="20"/>
        </w:rPr>
        <w:t>Session cookies are HTTP-only and SameSite=Lax. COOKIE_SECURE defaults to true and should only be false for local HTTP testing.</w:t>
      </w:r>
    </w:p>
    <w:p>
      <w:pPr>
        <w:pStyle w:val="ListBullet"/>
        <w:keepNext w:val="0"/>
        <w:keepLines w:val="0"/>
        <w:spacing w:before="0" w:after="40" w:line="269" w:lineRule="auto"/>
      </w:pPr>
      <w:r>
        <w:rPr>
          <w:rFonts w:ascii="Arial" w:hAnsi="Arial"/>
          <w:color w:val="17324D"/>
          <w:sz w:val="20"/>
        </w:rPr>
        <w:t>All routes are registered before the server listener opens.</w:t>
      </w:r>
    </w:p>
    <w:p>
      <w:pPr>
        <w:pStyle w:val="ListBullet"/>
        <w:keepNext w:val="0"/>
        <w:keepLines w:val="0"/>
        <w:spacing w:before="0" w:after="40" w:line="269" w:lineRule="auto"/>
      </w:pPr>
      <w:r>
        <w:rPr>
          <w:rFonts w:ascii="Arial" w:hAnsi="Arial"/>
          <w:color w:val="17324D"/>
          <w:sz w:val="20"/>
        </w:rPr>
        <w:t>Startup no longer accepts destructive Prisma data loss automatically.</w:t>
      </w:r>
    </w:p>
    <w:p>
      <w:pPr>
        <w:pStyle w:val="Heading1"/>
        <w:keepNext/>
        <w:keepLines w:val="0"/>
        <w:pageBreakBefore w:val="0"/>
        <w:spacing w:before="160" w:after="100" w:line="240" w:lineRule="auto"/>
      </w:pPr>
      <w:r>
        <w:rPr>
          <w:rFonts w:ascii="Arial" w:hAnsi="Arial"/>
          <w:b/>
          <w:color w:val="003A66"/>
          <w:sz w:val="34"/>
        </w:rPr>
        <w:t>3. Dashboard date and filter semantics</w:t>
      </w:r>
    </w:p>
    <w:p>
      <w:pPr>
        <w:keepNext w:val="0"/>
        <w:keepLines w:val="0"/>
        <w:spacing w:before="0" w:after="120" w:line="276" w:lineRule="auto"/>
      </w:pPr>
      <w:r>
        <w:rPr>
          <w:rFonts w:ascii="Arial" w:hAnsi="Arial"/>
          <w:b/>
          <w:i w:val="0"/>
          <w:color w:val="003A66"/>
          <w:sz w:val="21"/>
        </w:rPr>
        <w:t>This section is normative. A period label may only be shown when the source records are selected with the matching rule.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5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Selection</w:t>
            </w:r>
          </w:p>
        </w:tc>
        <w:tc>
          <w:tcPr>
            <w:tcW w:type="dxa" w:w="237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Stock/as-at end</w:t>
            </w:r>
          </w:p>
        </w:tc>
        <w:tc>
          <w:tcPr>
            <w:tcW w:type="dxa" w:w="273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Flow start</w:t>
            </w:r>
          </w:p>
        </w:tc>
        <w:tc>
          <w:tcPr>
            <w:tcW w:type="dxa" w:w="2232"/>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Flow end</w:t>
            </w:r>
          </w:p>
        </w:tc>
      </w:tr>
      <w:tr>
        <w:trPr>
          <w:cantSplit/>
        </w:trPr>
        <w:tc>
          <w:tcPr>
            <w:tcW w:type="dxa" w:w="25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Closed period=2026-03</w:t>
            </w:r>
          </w:p>
        </w:tc>
        <w:tc>
          <w:tcPr>
            <w:tcW w:type="dxa" w:w="237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31 Mar 2026 23:59:59.999 UTC</w:t>
            </w:r>
          </w:p>
        </w:tc>
        <w:tc>
          <w:tcPr>
            <w:tcW w:type="dxa" w:w="273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1 Mar 2026 00:00 UTC</w:t>
            </w:r>
          </w:p>
        </w:tc>
        <w:tc>
          <w:tcPr>
            <w:tcW w:type="dxa" w:w="22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31 Mar 2026 23:59:59.999 UTC</w:t>
            </w:r>
          </w:p>
        </w:tc>
      </w:tr>
      <w:tr>
        <w:trPr>
          <w:cantSplit/>
        </w:trPr>
        <w:tc>
          <w:tcPr>
            <w:tcW w:type="dxa" w:w="25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Current-month period=YYYY-MM</w:t>
            </w:r>
          </w:p>
        </w:tc>
        <w:tc>
          <w:tcPr>
            <w:tcW w:type="dxa" w:w="237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c>
          <w:tcPr>
            <w:tcW w:type="dxa" w:w="273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First day of current UTC month</w:t>
            </w:r>
          </w:p>
        </w:tc>
        <w:tc>
          <w:tcPr>
            <w:tcW w:type="dxa" w:w="22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r>
      <w:tr>
        <w:trPr>
          <w:cantSplit/>
        </w:trPr>
        <w:tc>
          <w:tcPr>
            <w:tcW w:type="dxa" w:w="25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range=30d</w:t>
            </w:r>
          </w:p>
        </w:tc>
        <w:tc>
          <w:tcPr>
            <w:tcW w:type="dxa" w:w="237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c>
          <w:tcPr>
            <w:tcW w:type="dxa" w:w="273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Start of UTC date 29 days before today</w:t>
            </w:r>
          </w:p>
        </w:tc>
        <w:tc>
          <w:tcPr>
            <w:tcW w:type="dxa" w:w="22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r>
      <w:tr>
        <w:trPr>
          <w:cantSplit/>
        </w:trPr>
        <w:tc>
          <w:tcPr>
            <w:tcW w:type="dxa" w:w="25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range=quarter</w:t>
            </w:r>
          </w:p>
        </w:tc>
        <w:tc>
          <w:tcPr>
            <w:tcW w:type="dxa" w:w="237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c>
          <w:tcPr>
            <w:tcW w:type="dxa" w:w="273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UTC quarter start</w:t>
            </w:r>
          </w:p>
        </w:tc>
        <w:tc>
          <w:tcPr>
            <w:tcW w:type="dxa" w:w="22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r>
      <w:tr>
        <w:trPr>
          <w:cantSplit/>
        </w:trPr>
        <w:tc>
          <w:tcPr>
            <w:tcW w:type="dxa" w:w="25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range=all</w:t>
            </w:r>
          </w:p>
        </w:tc>
        <w:tc>
          <w:tcPr>
            <w:tcW w:type="dxa" w:w="237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c>
          <w:tcPr>
            <w:tcW w:type="dxa" w:w="273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No lower bound</w:t>
            </w:r>
          </w:p>
        </w:tc>
        <w:tc>
          <w:tcPr>
            <w:tcW w:type="dxa" w:w="22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timestamp</w:t>
            </w:r>
          </w:p>
        </w:tc>
      </w:tr>
    </w:tbl>
    <w:p>
      <w:pPr>
        <w:keepNext w:val="0"/>
        <w:keepLines w:val="0"/>
        <w:spacing w:before="0" w:after="40" w:line="276" w:lineRule="auto"/>
      </w:pPr>
      <w:r>
        <w:rPr>
          <w:rFonts w:ascii="Arial" w:hAnsi="Arial"/>
          <w:b w:val="0"/>
          <w:i w:val="0"/>
          <w:color w:val="17324D"/>
          <w:sz w:val="2"/>
        </w:rPr>
      </w:r>
    </w:p>
    <w:tbl>
      <w:tblPr>
        <w:tblW w:type="auto" w:w="0"/>
        <w:jc w:val="center"/>
        <w:tblLayout w:type="fixed"/>
        <w:tblLook w:firstColumn="1" w:firstRow="1" w:lastColumn="0" w:lastRow="0" w:noHBand="0" w:noVBand="1" w:val="04A0"/>
      </w:tblPr>
      <w:tblGrid>
        <w:gridCol w:w="10080"/>
      </w:tblGrid>
      <w:tr>
        <w:tc>
          <w:tcPr>
            <w:tcW w:type="dxa" w:w="9864"/>
            <w:shd w:fill="F4F9FC"/>
            <w:tcMar>
              <w:top w:w="150" w:type="dxa"/>
              <w:start w:w="190" w:type="dxa"/>
              <w:bottom w:w="150" w:type="dxa"/>
              <w:end w:w="190" w:type="dxa"/>
            </w:tcMar>
            <w:tcBorders>
              <w:top w:val="single" w:sz="3" w:color="F4F9FC"/>
              <w:bottom w:val="single" w:sz="3" w:color="F4F9FC"/>
              <w:start w:val="single" w:sz="22" w:color="0078C7"/>
              <w:end w:val="single" w:sz="3" w:color="F4F9FC"/>
            </w:tcBorders>
          </w:tcPr>
          <w:p>
            <w:pPr>
              <w:keepNext/>
              <w:keepLines w:val="0"/>
              <w:spacing w:before="0" w:after="80" w:line="240" w:lineRule="auto"/>
            </w:pPr>
            <w:r>
              <w:rPr>
                <w:rFonts w:ascii="Arial" w:hAnsi="Arial"/>
                <w:b/>
                <w:color w:val="003A66"/>
                <w:sz w:val="22"/>
              </w:rPr>
              <w:t>Query validation</w:t>
            </w:r>
          </w:p>
          <w:p>
            <w:pPr>
              <w:keepNext w:val="0"/>
              <w:keepLines w:val="0"/>
              <w:spacing w:before="0" w:after="0" w:line="274" w:lineRule="auto"/>
            </w:pPr>
            <w:r>
              <w:rPr>
                <w:rFonts w:ascii="Arial" w:hAnsi="Arial"/>
                <w:color w:val="17324D"/>
                <w:sz w:val="20"/>
              </w:rPr>
              <w:t>period and range are mutually exclusive. Future months are rejected. range=month is invalid without period=YYYY-MM. Site and income values must match the dated workforce state at the selected as-at boundary.</w:t>
            </w:r>
          </w:p>
        </w:tc>
      </w:tr>
    </w:tbl>
    <w:p>
      <w:pPr>
        <w:keepNext w:val="0"/>
        <w:keepLines w:val="0"/>
        <w:spacing w:before="0" w:after="6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3.1 Stock versus flow classification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Dashboard area</w:t>
            </w:r>
          </w:p>
        </w:tc>
        <w:tc>
          <w:tcPr>
            <w:tcW w:type="dxa" w:w="165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Class</w:t>
            </w:r>
          </w:p>
        </w:tc>
        <w:tc>
          <w:tcPr>
            <w:tcW w:type="dxa" w:w="5328"/>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Date rule</w:t>
            </w:r>
          </w:p>
        </w:tc>
      </w:tr>
      <w:tr>
        <w:trPr>
          <w:cantSplit/>
        </w:trPr>
        <w:tc>
          <w:tcPr>
            <w:tcW w:type="dxa" w:w="288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 workforce</w:t>
            </w:r>
          </w:p>
        </w:tc>
        <w:tc>
          <w:tcPr>
            <w:tcW w:type="dxa" w:w="165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Stock</w:t>
            </w:r>
          </w:p>
        </w:tc>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Latest non-retracted headcount/workforce state at or before as-at</w:t>
            </w:r>
          </w:p>
        </w:tc>
      </w:tr>
      <w:tr>
        <w:trPr>
          <w:cantSplit/>
        </w:trPr>
        <w:tc>
          <w:tcPr>
            <w:tcW w:type="dxa" w:w="288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Take-up and activation</w:t>
            </w:r>
          </w:p>
        </w:tc>
        <w:tc>
          <w:tcPr>
            <w:tcW w:type="dxa" w:w="165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Cumulative stock ratio</w:t>
            </w:r>
          </w:p>
        </w:tc>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Enrolled / activated by as-at divided by eligible as-at</w:t>
            </w:r>
          </w:p>
        </w:tc>
      </w:tr>
      <w:tr>
        <w:trPr>
          <w:cantSplit/>
        </w:trPr>
        <w:tc>
          <w:tcPr>
            <w:tcW w:type="dxa" w:w="288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Completed-fix funnel</w:t>
            </w:r>
          </w:p>
        </w:tc>
        <w:tc>
          <w:tcPr>
            <w:tcW w:type="dxa" w:w="165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Cumulative stock</w:t>
            </w:r>
          </w:p>
        </w:tc>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Unique users with completed journey by as-at</w:t>
            </w:r>
          </w:p>
        </w:tc>
      </w:tr>
      <w:tr>
        <w:trPr>
          <w:cantSplit/>
        </w:trPr>
        <w:tc>
          <w:tcPr>
            <w:tcW w:type="dxa" w:w="288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Outcome cards and new savings</w:t>
            </w:r>
          </w:p>
        </w:tc>
        <w:tc>
          <w:tcPr>
            <w:tcW w:type="dxa" w:w="165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Flow</w:t>
            </w:r>
          </w:p>
        </w:tc>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Journeys completed inside selected window</w:t>
            </w:r>
          </w:p>
        </w:tc>
      </w:tr>
      <w:tr>
        <w:trPr>
          <w:cantSplit/>
        </w:trPr>
        <w:tc>
          <w:tcPr>
            <w:tcW w:type="dxa" w:w="288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Debt profile, creditors and states</w:t>
            </w:r>
          </w:p>
        </w:tc>
        <w:tc>
          <w:tcPr>
            <w:tcW w:type="dxa" w:w="165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Stock</w:t>
            </w:r>
          </w:p>
        </w:tc>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Latest valid account observation as at end; closed accounts excluded</w:t>
            </w:r>
          </w:p>
        </w:tc>
      </w:tr>
      <w:tr>
        <w:trPr>
          <w:cantSplit/>
        </w:trPr>
        <w:tc>
          <w:tcPr>
            <w:tcW w:type="dxa" w:w="288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Insurance efficiency and opportunity</w:t>
            </w:r>
          </w:p>
        </w:tc>
        <w:tc>
          <w:tcPr>
            <w:tcW w:type="dxa" w:w="165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Stock</w:t>
            </w:r>
          </w:p>
        </w:tc>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Latest effective policy observation as at end; resolution applies from resolved_at</w:t>
            </w:r>
          </w:p>
        </w:tc>
      </w:tr>
      <w:tr>
        <w:trPr>
          <w:cantSplit/>
        </w:trPr>
        <w:tc>
          <w:tcPr>
            <w:tcW w:type="dxa" w:w="288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Ratings, chat, referrals and EWA</w:t>
            </w:r>
          </w:p>
        </w:tc>
        <w:tc>
          <w:tcPr>
            <w:tcW w:type="dxa" w:w="165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Flow</w:t>
            </w:r>
          </w:p>
        </w:tc>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Business event date inside selected window</w:t>
            </w:r>
          </w:p>
        </w:tc>
      </w:tr>
      <w:tr>
        <w:trPr>
          <w:cantSplit/>
        </w:trPr>
        <w:tc>
          <w:tcPr>
            <w:tcW w:type="dxa" w:w="288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Portfolio</w:t>
            </w:r>
          </w:p>
        </w:tc>
        <w:tc>
          <w:tcPr>
            <w:tcW w:type="dxa" w:w="165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Mixed</w:t>
            </w:r>
          </w:p>
        </w:tc>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Each employer row uses the same stock/flow rules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3.2 Site and income cohorts</w:t>
      </w:r>
    </w:p>
    <w:p>
      <w:pPr>
        <w:pStyle w:val="ListNumber"/>
        <w:keepNext w:val="0"/>
        <w:keepLines w:val="0"/>
        <w:spacing w:before="0" w:after="40" w:line="269" w:lineRule="auto"/>
      </w:pPr>
      <w:r>
        <w:rPr>
          <w:rFonts w:ascii="Arial" w:hAnsi="Arial"/>
          <w:color w:val="17324D"/>
          <w:sz w:val="20"/>
        </w:rPr>
        <w:t>Select the latest non-retracted employee observation whose observed_at is at or before as-at.</w:t>
      </w:r>
    </w:p>
    <w:p>
      <w:pPr>
        <w:pStyle w:val="ListNumber"/>
        <w:keepNext w:val="0"/>
        <w:keepLines w:val="0"/>
        <w:spacing w:before="0" w:after="40" w:line="269" w:lineRule="auto"/>
      </w:pPr>
      <w:r>
        <w:rPr>
          <w:rFonts w:ascii="Arial" w:hAnsi="Arial"/>
          <w:color w:val="17324D"/>
          <w:sz w:val="20"/>
        </w:rPr>
        <w:t>Confirm eligible_from is at or before as-at and eligible_to is blank or includes the selected UTC calendar date.</w:t>
      </w:r>
    </w:p>
    <w:p>
      <w:pPr>
        <w:pStyle w:val="ListNumber"/>
        <w:keepNext w:val="0"/>
        <w:keepLines w:val="0"/>
        <w:spacing w:before="0" w:after="40" w:line="269" w:lineRule="auto"/>
      </w:pPr>
      <w:r>
        <w:rPr>
          <w:rFonts w:ascii="Arial" w:hAnsi="Arial"/>
          <w:color w:val="17324D"/>
          <w:sz w:val="20"/>
        </w:rPr>
        <w:t>Apply site_name and income_band only after reconstructing that dated workforce state.</w:t>
      </w:r>
    </w:p>
    <w:p>
      <w:pPr>
        <w:pStyle w:val="ListNumber"/>
        <w:keepNext w:val="0"/>
        <w:keepLines w:val="0"/>
        <w:spacing w:before="0" w:after="40" w:line="269" w:lineRule="auto"/>
      </w:pPr>
      <w:r>
        <w:rPr>
          <w:rFonts w:ascii="Arial" w:hAnsi="Arial"/>
          <w:color w:val="17324D"/>
          <w:sz w:val="20"/>
        </w:rPr>
        <w:t>Do not project today’s site or income band backwards once dated observations exist.</w:t>
      </w:r>
    </w:p>
    <w:p>
      <w:pPr>
        <w:pStyle w:val="Heading2"/>
        <w:keepNext/>
        <w:keepLines w:val="0"/>
        <w:pageBreakBefore w:val="0"/>
        <w:spacing w:before="120" w:after="100" w:line="240" w:lineRule="auto"/>
      </w:pPr>
      <w:r>
        <w:rPr>
          <w:rFonts w:ascii="Arial" w:hAnsi="Arial"/>
          <w:b/>
          <w:color w:val="003A66"/>
          <w:sz w:val="26"/>
        </w:rPr>
        <w:t>3.3 Data-quality warnings</w:t>
      </w:r>
    </w:p>
    <w:p>
      <w:pPr>
        <w:pStyle w:val="ListBullet"/>
        <w:keepNext w:val="0"/>
        <w:keepLines w:val="0"/>
        <w:spacing w:before="0" w:after="40" w:line="269" w:lineRule="auto"/>
      </w:pPr>
      <w:r>
        <w:rPr>
          <w:rFonts w:ascii="Arial" w:hAnsi="Arial"/>
          <w:color w:val="17324D"/>
          <w:sz w:val="20"/>
        </w:rPr>
        <w:t>No headcount snapshot exists at or before as-at.</w:t>
      </w:r>
    </w:p>
    <w:p>
      <w:pPr>
        <w:pStyle w:val="ListBullet"/>
        <w:keepNext w:val="0"/>
        <w:keepLines w:val="0"/>
        <w:spacing w:before="0" w:after="40" w:line="269" w:lineRule="auto"/>
      </w:pPr>
      <w:r>
        <w:rPr>
          <w:rFonts w:ascii="Arial" w:hAnsi="Arial"/>
          <w:color w:val="17324D"/>
          <w:sz w:val="20"/>
        </w:rPr>
        <w:t>The headcount snapshot and dated employee detail do not reconcile.</w:t>
      </w:r>
    </w:p>
    <w:p>
      <w:pPr>
        <w:pStyle w:val="ListBullet"/>
        <w:keepNext w:val="0"/>
        <w:keepLines w:val="0"/>
        <w:spacing w:before="0" w:after="40" w:line="269" w:lineRule="auto"/>
      </w:pPr>
      <w:r>
        <w:rPr>
          <w:rFonts w:ascii="Arial" w:hAnsi="Arial"/>
          <w:color w:val="17324D"/>
          <w:sz w:val="20"/>
        </w:rPr>
        <w:t>Legacy workforce, debt or policy projections were used because observation history is absent.</w:t>
      </w:r>
    </w:p>
    <w:p>
      <w:pPr>
        <w:pStyle w:val="ListBullet"/>
        <w:keepNext w:val="0"/>
        <w:keepLines w:val="0"/>
        <w:spacing w:before="0" w:after="40" w:line="269" w:lineRule="auto"/>
      </w:pPr>
      <w:r>
        <w:rPr>
          <w:rFonts w:ascii="Arial" w:hAnsi="Arial"/>
          <w:color w:val="17324D"/>
          <w:sz w:val="20"/>
        </w:rPr>
        <w:t>An employee has dated history but no valid observation at or before as-at.</w:t>
      </w:r>
    </w:p>
    <w:p>
      <w:pPr>
        <w:pStyle w:val="ListBullet"/>
        <w:keepNext w:val="0"/>
        <w:keepLines w:val="0"/>
        <w:spacing w:before="0" w:after="40" w:line="269" w:lineRule="auto"/>
      </w:pPr>
      <w:r>
        <w:rPr>
          <w:rFonts w:ascii="Arial" w:hAnsi="Arial"/>
          <w:color w:val="17324D"/>
          <w:sz w:val="20"/>
        </w:rPr>
        <w:t>The selected site/income cohort contains no eligible employees.</w:t>
      </w:r>
    </w:p>
    <w:p>
      <w:pPr>
        <w:pStyle w:val="Heading1"/>
        <w:keepNext/>
        <w:keepLines w:val="0"/>
        <w:pageBreakBefore w:val="0"/>
        <w:spacing w:before="160" w:after="100" w:line="240" w:lineRule="auto"/>
      </w:pPr>
      <w:r>
        <w:rPr>
          <w:rFonts w:ascii="Arial" w:hAnsi="Arial"/>
          <w:b/>
          <w:color w:val="003A66"/>
          <w:sz w:val="34"/>
        </w:rPr>
        <w:t>4. Incremental pull, idempotency and corrections</w:t>
      </w:r>
    </w:p>
    <w:p>
      <w:pPr>
        <w:keepNext w:val="0"/>
        <w:keepLines w:val="0"/>
        <w:spacing w:before="0" w:after="120" w:line="276" w:lineRule="auto"/>
      </w:pPr>
      <w:r>
        <w:rPr>
          <w:rFonts w:ascii="Arial" w:hAnsi="Arial"/>
          <w:b w:val="0"/>
          <w:i w:val="0"/>
          <w:color w:val="17324D"/>
          <w:sz w:val="21"/>
        </w:rPr>
        <w:t>Every endpoint accepts optional ISO-8601 UTC since and through boundaries. Optimise fixes through at sync start and uses a separate cursor per report.</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GET /api/optimise/journeys?since=2026-03-21T14:27:10.000Z&amp;through=2026-03-21T15:00:00.000Z</w:t>
            </w:r>
          </w:p>
        </w:tc>
      </w:tr>
    </w:tbl>
    <w:p>
      <w:pPr>
        <w:keepNext w:val="0"/>
        <w:keepLines w:val="0"/>
        <w:spacing w:before="0" w:after="40" w:line="276" w:lineRule="auto"/>
      </w:pPr>
      <w:r>
        <w:rPr>
          <w:rFonts w:ascii="Arial" w:hAnsi="Arial"/>
          <w:b w:val="0"/>
          <w:i w:val="0"/>
          <w:color w:val="17324D"/>
          <w:sz w:val="2"/>
        </w:rPr>
      </w:r>
    </w:p>
    <w:tbl>
      <w:tblPr>
        <w:tblW w:type="auto" w:w="0"/>
        <w:jc w:val="center"/>
        <w:tblLayout w:type="fixed"/>
        <w:tblLook w:firstColumn="1" w:firstRow="1" w:lastColumn="0" w:lastRow="0" w:noHBand="0" w:noVBand="1" w:val="04A0"/>
      </w:tblPr>
      <w:tblGrid>
        <w:gridCol w:w="10080"/>
      </w:tblGrid>
      <w:tr>
        <w:tc>
          <w:tcPr>
            <w:tcW w:type="dxa" w:w="9864"/>
            <w:shd w:fill="EAF5EF"/>
            <w:tcMar>
              <w:top w:w="150" w:type="dxa"/>
              <w:start w:w="190" w:type="dxa"/>
              <w:bottom w:w="150" w:type="dxa"/>
              <w:end w:w="190" w:type="dxa"/>
            </w:tcMar>
            <w:tcBorders>
              <w:top w:val="single" w:sz="3" w:color="EAF5EF"/>
              <w:bottom w:val="single" w:sz="3" w:color="EAF5EF"/>
              <w:start w:val="single" w:sz="22" w:color="137A47"/>
              <w:end w:val="single" w:sz="3" w:color="EAF5EF"/>
            </w:tcBorders>
          </w:tcPr>
          <w:p>
            <w:pPr>
              <w:keepNext/>
              <w:keepLines w:val="0"/>
              <w:spacing w:before="0" w:after="80" w:line="240" w:lineRule="auto"/>
            </w:pPr>
            <w:r>
              <w:rPr>
                <w:rFonts w:ascii="Arial" w:hAnsi="Arial"/>
                <w:b/>
                <w:color w:val="137A47"/>
                <w:sz w:val="22"/>
              </w:rPr>
              <w:t>Required source predicate</w:t>
            </w:r>
          </w:p>
          <w:p>
            <w:pPr>
              <w:keepNext w:val="0"/>
              <w:keepLines w:val="0"/>
              <w:spacing w:before="0" w:after="0" w:line="274" w:lineRule="auto"/>
            </w:pPr>
            <w:r>
              <w:rPr>
                <w:rFonts w:ascii="Arial" w:hAnsi="Arial"/>
                <w:color w:val="17324D"/>
                <w:sz w:val="20"/>
              </w:rPr>
              <w:t>Return every record where source_updated_at &gt; since AND source_updated_at &lt;= through. Optimise intentionally overlaps the previous cursor by five minutes; repeated boundary records are expected and safe.</w:t>
            </w:r>
          </w:p>
        </w:tc>
      </w:tr>
    </w:tbl>
    <w:p>
      <w:pPr>
        <w:keepNext w:val="0"/>
        <w:keepLines w:val="0"/>
        <w:spacing w:before="0" w:after="60" w:line="276" w:lineRule="auto"/>
      </w:pPr>
      <w:r>
        <w:rPr>
          <w:rFonts w:ascii="Arial" w:hAnsi="Arial"/>
          <w:b w:val="0"/>
          <w:i w:val="0"/>
          <w:color w:val="17324D"/>
          <w:sz w:val="2"/>
        </w:rPr>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Control</w:t>
            </w:r>
          </w:p>
        </w:tc>
        <w:tc>
          <w:tcPr>
            <w:tcW w:type="dxa" w:w="7343"/>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Rule</w:t>
            </w:r>
          </w:p>
        </w:tc>
      </w:tr>
      <w:tr>
        <w:trPr>
          <w:cantSplit/>
        </w:trPr>
        <w:tc>
          <w:tcPr>
            <w:tcW w:type="dxa" w:w="25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Per-report cursor</w:t>
            </w:r>
          </w:p>
        </w:tc>
        <w:tc>
          <w:tcPr>
            <w:tcW w:type="dxa" w:w="7343"/>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 failed report does not advance its cursor.</w:t>
            </w:r>
          </w:p>
        </w:tc>
      </w:tr>
      <w:tr>
        <w:trPr>
          <w:cantSplit/>
        </w:trPr>
        <w:tc>
          <w:tcPr>
            <w:tcW w:type="dxa" w:w="25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Fixed through boundary</w:t>
            </w:r>
          </w:p>
        </w:tc>
        <w:tc>
          <w:tcPr>
            <w:tcW w:type="dxa" w:w="7343"/>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All pages/records in one report pull use the same inclusive upper bound.</w:t>
            </w:r>
          </w:p>
        </w:tc>
      </w:tr>
      <w:tr>
        <w:trPr>
          <w:cantSplit/>
        </w:trPr>
        <w:tc>
          <w:tcPr>
            <w:tcW w:type="dxa" w:w="25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Natural key upsert</w:t>
            </w:r>
          </w:p>
        </w:tc>
        <w:tc>
          <w:tcPr>
            <w:tcW w:type="dxa" w:w="7343"/>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The natural key identifies the logical record or observation.</w:t>
            </w:r>
          </w:p>
        </w:tc>
      </w:tr>
      <w:tr>
        <w:trPr>
          <w:cantSplit/>
        </w:trPr>
        <w:tc>
          <w:tcPr>
            <w:tcW w:type="dxa" w:w="25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Last-write ordering</w:t>
            </w:r>
          </w:p>
        </w:tc>
        <w:tc>
          <w:tcPr>
            <w:tcW w:type="dxa" w:w="7343"/>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An older source_updated_at is stale and ignored.</w:t>
            </w:r>
          </w:p>
        </w:tc>
      </w:tr>
      <w:tr>
        <w:trPr>
          <w:cantSplit/>
        </w:trPr>
        <w:tc>
          <w:tcPr>
            <w:tcW w:type="dxa" w:w="25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Technical retraction</w:t>
            </w:r>
          </w:p>
        </w:tc>
        <w:tc>
          <w:tcPr>
            <w:tcW w:type="dxa" w:w="7343"/>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is_deleted=true retracts that natural-key record; it is not a lifecycle date.</w:t>
            </w:r>
          </w:p>
        </w:tc>
      </w:tr>
      <w:tr>
        <w:trPr>
          <w:cantSplit/>
        </w:trPr>
        <w:tc>
          <w:tcPr>
            <w:tcW w:type="dxa" w:w="25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Business closure</w:t>
            </w:r>
          </w:p>
        </w:tc>
        <w:tc>
          <w:tcPr>
            <w:tcW w:type="dxa" w:w="7343"/>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Use eligible_to, closed_at, effective_to or resolved_at as applicable.</w:t>
            </w:r>
          </w:p>
        </w:tc>
      </w:tr>
      <w:tr>
        <w:trPr>
          <w:cantSplit/>
        </w:trPr>
        <w:tc>
          <w:tcPr>
            <w:tcW w:type="dxa" w:w="25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Safe reversion</w:t>
            </w:r>
          </w:p>
        </w:tc>
        <w:tc>
          <w:tcPr>
            <w:tcW w:type="dxa" w:w="7343"/>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Only insert-only ratings, chat, referral and salary-advance batches may be physically reverted.</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4.1 Common fields on all reports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2232"/>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Type / requirement</w:t>
            </w:r>
          </w:p>
        </w:tc>
        <w:tc>
          <w:tcPr>
            <w:tcW w:type="dxa" w:w="525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Meaning</w:t>
            </w:r>
          </w:p>
        </w:tc>
      </w:tr>
      <w:tr>
        <w:trPr>
          <w:cantSplit/>
        </w:trPr>
        <w:tc>
          <w:tcPr>
            <w:tcW w:type="dxa" w:w="237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source_updated_at</w:t>
            </w:r>
          </w:p>
        </w:tc>
        <w:tc>
          <w:tcPr>
            <w:tcW w:type="dxa" w:w="22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datetime / required</w:t>
            </w:r>
          </w:p>
        </w:tc>
        <w:tc>
          <w:tcPr>
            <w:tcW w:type="dxa" w:w="525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Last source-system change with Z or explicit offset. Drives incremental extraction and last-write ordering.</w:t>
            </w:r>
          </w:p>
        </w:tc>
      </w:tr>
      <w:tr>
        <w:trPr>
          <w:cantSplit/>
        </w:trPr>
        <w:tc>
          <w:tcPr>
            <w:tcW w:type="dxa" w:w="237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is_deleted</w:t>
            </w:r>
          </w:p>
        </w:tc>
        <w:tc>
          <w:tcPr>
            <w:tcW w:type="dxa" w:w="22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bool / optional</w:t>
            </w:r>
          </w:p>
        </w:tc>
        <w:tc>
          <w:tcPr>
            <w:tcW w:type="dxa" w:w="525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Technical tombstone/retraction. Defaults false. Required business fields remain required on tombstones in v2.</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val="0"/>
        <w:spacing w:before="160" w:after="100" w:line="240" w:lineRule="auto"/>
      </w:pPr>
      <w:r>
        <w:rPr>
          <w:rFonts w:ascii="Arial" w:hAnsi="Arial"/>
          <w:b/>
          <w:color w:val="003A66"/>
          <w:sz w:val="34"/>
        </w:rPr>
        <w:t>5. Load order, identity and dependency rules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792"/>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w:t>
            </w:r>
          </w:p>
        </w:tc>
        <w:tc>
          <w:tcPr>
            <w:tcW w:type="dxa" w:w="324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Report key</w:t>
            </w:r>
          </w:p>
        </w:tc>
        <w:tc>
          <w:tcPr>
            <w:tcW w:type="dxa" w:w="5832"/>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Feed</w:t>
            </w:r>
          </w:p>
        </w:tc>
      </w:tr>
      <w:tr>
        <w:trPr>
          <w:cantSplit/>
        </w:trPr>
        <w:tc>
          <w:tcPr>
            <w:tcW w:type="dxa" w:w="7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1</w:t>
            </w:r>
          </w:p>
        </w:tc>
        <w:tc>
          <w:tcPr>
            <w:tcW w:type="dxa" w:w="324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employers</w:t>
            </w:r>
          </w:p>
        </w:tc>
        <w:tc>
          <w:tcPr>
            <w:tcW w:type="dxa" w:w="58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Employers (master)</w:t>
            </w:r>
          </w:p>
        </w:tc>
      </w:tr>
      <w:tr>
        <w:trPr>
          <w:cantSplit/>
        </w:trPr>
        <w:tc>
          <w:tcPr>
            <w:tcW w:type="dxa" w:w="7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2</w:t>
            </w:r>
          </w:p>
        </w:tc>
        <w:tc>
          <w:tcPr>
            <w:tcW w:type="dxa" w:w="324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workforce_snapshots</w:t>
            </w:r>
          </w:p>
        </w:tc>
        <w:tc>
          <w:tcPr>
            <w:tcW w:type="dxa" w:w="58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Workforce Headcount Snapshots</w:t>
            </w:r>
          </w:p>
        </w:tc>
      </w:tr>
      <w:tr>
        <w:trPr>
          <w:cantSplit/>
        </w:trPr>
        <w:tc>
          <w:tcPr>
            <w:tcW w:type="dxa" w:w="7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3</w:t>
            </w:r>
          </w:p>
        </w:tc>
        <w:tc>
          <w:tcPr>
            <w:tcW w:type="dxa" w:w="324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employees</w:t>
            </w:r>
          </w:p>
        </w:tc>
        <w:tc>
          <w:tcPr>
            <w:tcW w:type="dxa" w:w="58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Workforce / Eligibility</w:t>
            </w:r>
          </w:p>
        </w:tc>
      </w:tr>
      <w:tr>
        <w:trPr>
          <w:cantSplit/>
        </w:trPr>
        <w:tc>
          <w:tcPr>
            <w:tcW w:type="dxa" w:w="7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4</w:t>
            </w:r>
          </w:p>
        </w:tc>
        <w:tc>
          <w:tcPr>
            <w:tcW w:type="dxa" w:w="324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platform_users</w:t>
            </w:r>
          </w:p>
        </w:tc>
        <w:tc>
          <w:tcPr>
            <w:tcW w:type="dxa" w:w="58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Platform Enrolment</w:t>
            </w:r>
          </w:p>
        </w:tc>
      </w:tr>
      <w:tr>
        <w:trPr>
          <w:cantSplit/>
        </w:trPr>
        <w:tc>
          <w:tcPr>
            <w:tcW w:type="dxa" w:w="7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5</w:t>
            </w:r>
          </w:p>
        </w:tc>
        <w:tc>
          <w:tcPr>
            <w:tcW w:type="dxa" w:w="324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journeys</w:t>
            </w:r>
          </w:p>
        </w:tc>
        <w:tc>
          <w:tcPr>
            <w:tcW w:type="dxa" w:w="58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Journeys &amp; Outcomes</w:t>
            </w:r>
          </w:p>
        </w:tc>
      </w:tr>
      <w:tr>
        <w:trPr>
          <w:cantSplit/>
        </w:trPr>
        <w:tc>
          <w:tcPr>
            <w:tcW w:type="dxa" w:w="7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6</w:t>
            </w:r>
          </w:p>
        </w:tc>
        <w:tc>
          <w:tcPr>
            <w:tcW w:type="dxa" w:w="324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debt_accounts</w:t>
            </w:r>
          </w:p>
        </w:tc>
        <w:tc>
          <w:tcPr>
            <w:tcW w:type="dxa" w:w="58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Debt Account Observations</w:t>
            </w:r>
          </w:p>
        </w:tc>
      </w:tr>
      <w:tr>
        <w:trPr>
          <w:cantSplit/>
        </w:trPr>
        <w:tc>
          <w:tcPr>
            <w:tcW w:type="dxa" w:w="7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7</w:t>
            </w:r>
          </w:p>
        </w:tc>
        <w:tc>
          <w:tcPr>
            <w:tcW w:type="dxa" w:w="324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policies</w:t>
            </w:r>
          </w:p>
        </w:tc>
        <w:tc>
          <w:tcPr>
            <w:tcW w:type="dxa" w:w="58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Insurance Policy Observations</w:t>
            </w:r>
          </w:p>
        </w:tc>
      </w:tr>
      <w:tr>
        <w:trPr>
          <w:cantSplit/>
        </w:trPr>
        <w:tc>
          <w:tcPr>
            <w:tcW w:type="dxa" w:w="7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8</w:t>
            </w:r>
          </w:p>
        </w:tc>
        <w:tc>
          <w:tcPr>
            <w:tcW w:type="dxa" w:w="324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ratings</w:t>
            </w:r>
          </w:p>
        </w:tc>
        <w:tc>
          <w:tcPr>
            <w:tcW w:type="dxa" w:w="58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Experience Ratings</w:t>
            </w:r>
          </w:p>
        </w:tc>
      </w:tr>
      <w:tr>
        <w:trPr>
          <w:cantSplit/>
        </w:trPr>
        <w:tc>
          <w:tcPr>
            <w:tcW w:type="dxa" w:w="7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9</w:t>
            </w:r>
          </w:p>
        </w:tc>
        <w:tc>
          <w:tcPr>
            <w:tcW w:type="dxa" w:w="324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chat_sessions</w:t>
            </w:r>
          </w:p>
        </w:tc>
        <w:tc>
          <w:tcPr>
            <w:tcW w:type="dxa" w:w="58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Voice of the Employee (Chat)</w:t>
            </w:r>
          </w:p>
        </w:tc>
      </w:tr>
      <w:tr>
        <w:trPr>
          <w:cantSplit/>
        </w:trPr>
        <w:tc>
          <w:tcPr>
            <w:tcW w:type="dxa" w:w="7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10</w:t>
            </w:r>
          </w:p>
        </w:tc>
        <w:tc>
          <w:tcPr>
            <w:tcW w:type="dxa" w:w="324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referrals</w:t>
            </w:r>
          </w:p>
        </w:tc>
        <w:tc>
          <w:tcPr>
            <w:tcW w:type="dxa" w:w="583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Referrals &amp; Sharing</w:t>
            </w:r>
          </w:p>
        </w:tc>
      </w:tr>
      <w:tr>
        <w:trPr>
          <w:cantSplit/>
        </w:trPr>
        <w:tc>
          <w:tcPr>
            <w:tcW w:type="dxa" w:w="7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8"/>
              </w:rPr>
              <w:t>11</w:t>
            </w:r>
          </w:p>
        </w:tc>
        <w:tc>
          <w:tcPr>
            <w:tcW w:type="dxa" w:w="324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salary_advances</w:t>
            </w:r>
          </w:p>
        </w:tc>
        <w:tc>
          <w:tcPr>
            <w:tcW w:type="dxa" w:w="583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Early Wage Access</w:t>
            </w:r>
          </w:p>
        </w:tc>
      </w:tr>
    </w:tbl>
    <w:p>
      <w:pPr>
        <w:keepNext w:val="0"/>
        <w:keepLines w:val="0"/>
        <w:spacing w:before="0" w:after="40" w:line="276" w:lineRule="auto"/>
      </w:pPr>
      <w:r>
        <w:rPr>
          <w:rFonts w:ascii="Arial" w:hAnsi="Arial"/>
          <w:b w:val="0"/>
          <w:i w:val="0"/>
          <w:color w:val="17324D"/>
          <w:sz w:val="2"/>
        </w:rPr>
      </w:r>
    </w:p>
    <w:p>
      <w:pPr>
        <w:pStyle w:val="ListBullet"/>
        <w:keepNext w:val="0"/>
        <w:keepLines w:val="0"/>
        <w:spacing w:before="0" w:after="40" w:line="269" w:lineRule="auto"/>
      </w:pPr>
      <w:r>
        <w:rPr>
          <w:rFonts w:ascii="Arial" w:hAnsi="Arial"/>
          <w:color w:val="17324D"/>
          <w:sz w:val="20"/>
        </w:rPr>
        <w:t>Expose every endpoint even when it currently returns no records.</w:t>
      </w:r>
    </w:p>
    <w:p>
      <w:pPr>
        <w:pStyle w:val="ListBullet"/>
        <w:keepNext w:val="0"/>
        <w:keepLines w:val="0"/>
        <w:spacing w:before="0" w:after="40" w:line="269" w:lineRule="auto"/>
      </w:pPr>
      <w:r>
        <w:rPr>
          <w:rFonts w:ascii="Arial" w:hAnsi="Arial"/>
          <w:color w:val="17324D"/>
          <w:sz w:val="20"/>
        </w:rPr>
        <w:t>employer_ref is the stable external Employer primary key used throughout the model.</w:t>
      </w:r>
    </w:p>
    <w:p>
      <w:pPr>
        <w:pStyle w:val="ListBullet"/>
        <w:keepNext w:val="0"/>
        <w:keepLines w:val="0"/>
        <w:spacing w:before="0" w:after="40" w:line="269" w:lineRule="auto"/>
      </w:pPr>
      <w:r>
        <w:rPr>
          <w:rFonts w:ascii="Arial" w:hAnsi="Arial"/>
          <w:color w:val="17324D"/>
          <w:sz w:val="20"/>
        </w:rPr>
        <w:t>payroll_ref is tokenised and must join to the dated employee feed before dependent records load.</w:t>
      </w:r>
    </w:p>
    <w:p>
      <w:pPr>
        <w:pStyle w:val="ListBullet"/>
        <w:keepNext w:val="0"/>
        <w:keepLines w:val="0"/>
        <w:spacing w:before="0" w:after="40" w:line="269" w:lineRule="auto"/>
      </w:pPr>
      <w:r>
        <w:rPr>
          <w:rFonts w:ascii="Arial" w:hAnsi="Arial"/>
          <w:color w:val="17324D"/>
          <w:sz w:val="20"/>
        </w:rPr>
        <w:t>One journey may act on multiple debt accounts; journey_ref is therefore not unique on debt-account rows.</w:t>
      </w:r>
    </w:p>
    <w:p>
      <w:pPr>
        <w:pStyle w:val="ListBullet"/>
        <w:keepNext w:val="0"/>
        <w:keepLines w:val="0"/>
        <w:spacing w:before="0" w:after="40" w:line="269" w:lineRule="auto"/>
      </w:pPr>
      <w:r>
        <w:rPr>
          <w:rFonts w:ascii="Arial" w:hAnsi="Arial"/>
          <w:color w:val="17324D"/>
          <w:sz w:val="20"/>
        </w:rPr>
        <w:t>Chat sessions and salary advances require payroll_ref so site and income filters can be applied consistently.</w:t>
      </w:r>
    </w:p>
    <w:p>
      <w:pPr>
        <w:pStyle w:val="Heading1"/>
        <w:keepNext/>
        <w:keepLines w:val="0"/>
        <w:pageBreakBefore/>
        <w:spacing w:before="160" w:after="100" w:line="240" w:lineRule="auto"/>
      </w:pPr>
      <w:r>
        <w:rPr>
          <w:rFonts w:ascii="Arial" w:hAnsi="Arial"/>
          <w:b/>
          <w:color w:val="003A66"/>
          <w:sz w:val="34"/>
        </w:rPr>
        <w:t>6. Employers (master)</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employers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/api/optimise/employers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employer_ref</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Employer</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Master identity; optional current headcount cache only. Historical denominator comes from workforce_snapshots.</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row per employer. Identity is master data; historical headcount is supplied separately in workforce_snapshots.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Stable employer code used by every dependent report.</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name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display name.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eligible_count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int</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Optional current headcount cache. workforce_snapshots is authoritative for historical reporting.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eligible_count_as_at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As-of date for eligible_count when that convenience field is supplied.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"employer_ref": "VIG",</w:t>
              <w:br/>
            </w:r>
            <w:r>
              <w:rPr>
                <w:rFonts w:ascii="Courier New" w:hAnsi="Courier New"/>
                <w:color w:val="17324D"/>
                <w:sz w:val="16"/>
              </w:rPr>
              <w:t xml:space="preserve">      "name": "Vaalwater Industrial Group",</w:t>
              <w:br/>
            </w:r>
            <w:r>
              <w:rPr>
                <w:rFonts w:ascii="Courier New" w:hAnsi="Courier New"/>
                <w:color w:val="17324D"/>
                <w:sz w:val="16"/>
              </w:rPr>
              <w:t xml:space="preserve">      "eligible_count": 1575,</w:t>
              <w:br/>
            </w:r>
            <w:r>
              <w:rPr>
                <w:rFonts w:ascii="Courier New" w:hAnsi="Courier New"/>
                <w:color w:val="17324D"/>
                <w:sz w:val="16"/>
              </w:rPr>
              <w:t xml:space="preserve">      "eligible_count_as_at": "2026-03-31",</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7. Workforce Headcount Snapshots</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workforce_snapshots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/api/optimise/workforce_snapshots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employer_ref + as_of_date</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EmployerHeadcountSnapshot</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Stock observation selected as at the filter end date.</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immutable headcount observation per employer and as-of date. This is the denominator for historical take-up and wellness scores.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as_of_date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Date the eligible headcount was true as at, normally payroll month-end.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eligible_count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int</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Eligible/switched-on employee denominator as at this date.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"employer_ref": "VIG",</w:t>
              <w:br/>
            </w:r>
            <w:r>
              <w:rPr>
                <w:rFonts w:ascii="Courier New" w:hAnsi="Courier New"/>
                <w:color w:val="17324D"/>
                <w:sz w:val="16"/>
              </w:rPr>
              <w:t xml:space="preserve">      "as_of_date": "2026-03-31",</w:t>
              <w:br/>
            </w:r>
            <w:r>
              <w:rPr>
                <w:rFonts w:ascii="Courier New" w:hAnsi="Courier New"/>
                <w:color w:val="17324D"/>
                <w:sz w:val="16"/>
              </w:rPr>
              <w:t xml:space="preserve">      "eligible_count": 1575,</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8. Workforce / Eligibility</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employees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/api/optimise/employees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employer_ref + payroll_ref + observed_at</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Employee</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Latest valid workforce observation selected as at the filter end; effective dates define eligibility.</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dated workforce observation per employee. The latest observation is the current projection; prior observations preserve historical site/income cohorts.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Tokenised unique payroll identifier; never a name or national ID.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observed_at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Date this site, income-band and eligibility state was observed, normally payroll month-end or a change date.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site_name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Site/branch true at observed_at and used by the dashboard site filter.</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income_band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UNDER_5K | BAND_5_10K | BAND_10_20K | BAND_20_40K | OVER_40K</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 income band used by the dashboard cohort filter.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eligible_from</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First date the employee was in the eligible workforce.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eligible_to</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Last eligible date, inclusive. Blank means still eligible.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active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Current-state convenience flag. Effective dates remain authoritative for as-at reporting.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"observed_at": "2026-03-31",</w:t>
              <w:br/>
            </w:r>
            <w:r>
              <w:rPr>
                <w:rFonts w:ascii="Courier New" w:hAnsi="Courier New"/>
                <w:color w:val="17324D"/>
                <w:sz w:val="16"/>
              </w:rPr>
              <w:t xml:space="preserve">      "site_name": "Secunda Site",</w:t>
              <w:br/>
            </w:r>
            <w:r>
              <w:rPr>
                <w:rFonts w:ascii="Courier New" w:hAnsi="Courier New"/>
                <w:color w:val="17324D"/>
                <w:sz w:val="16"/>
              </w:rPr>
              <w:t xml:space="preserve">      "income_band": "BAND_10_20K",</w:t>
              <w:br/>
            </w:r>
            <w:r>
              <w:rPr>
                <w:rFonts w:ascii="Courier New" w:hAnsi="Courier New"/>
                <w:color w:val="17324D"/>
                <w:sz w:val="16"/>
              </w:rPr>
              <w:t xml:space="preserve">      "eligible_from": "2025-11-01",</w:t>
              <w:br/>
            </w:r>
            <w:r>
              <w:rPr>
                <w:rFonts w:ascii="Courier New" w:hAnsi="Courier New"/>
                <w:color w:val="17324D"/>
                <w:sz w:val="16"/>
              </w:rPr>
              <w:t xml:space="preserve">      "eligible_to": "2026-07-31",</w:t>
              <w:br/>
            </w:r>
            <w:r>
              <w:rPr>
                <w:rFonts w:ascii="Courier New" w:hAnsi="Courier New"/>
                <w:color w:val="17324D"/>
                <w:sz w:val="16"/>
              </w:rPr>
              <w:t xml:space="preserve">      "active": true,</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9. Platform Enrolment</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platform_users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/api/optimise/platform_users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employer_ref + payroll_ref</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PlatformUser</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Cumulative event dates: enrolled and activated by the as-at boundary.</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row per employee who created an account. Enrolment and activation are event dates.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Must match an employee already loaded.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enrolled_at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Account creation date.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activated_at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Date first journey started. Blank means enrolled but not activated.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has_credit_profile</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Whether debt-account visibility is available.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"enrolled_at": "2026-02-14",</w:t>
              <w:br/>
            </w:r>
            <w:r>
              <w:rPr>
                <w:rFonts w:ascii="Courier New" w:hAnsi="Courier New"/>
                <w:color w:val="17324D"/>
                <w:sz w:val="16"/>
              </w:rPr>
              <w:t xml:space="preserve">      "activated_at": "2026-03-02",</w:t>
              <w:br/>
            </w:r>
            <w:r>
              <w:rPr>
                <w:rFonts w:ascii="Courier New" w:hAnsi="Courier New"/>
                <w:color w:val="17324D"/>
                <w:sz w:val="16"/>
              </w:rPr>
              <w:t xml:space="preserve">      "has_credit_profile": true,</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10. Journeys &amp; Outcomes</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journeys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/api/optimise/journeys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journey_ref</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Journey</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Started/completed event dates drive funnel and completed-in-window outcomes.</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row per journey. started_at and completed_at drive selected-period activity; source_updated_at drives status upserts.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Unique journey instance identifier.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Employee owning the journey.</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type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CREDIT_LIFE | FUNERAL | SHORT_TERM | ARREARS | PRESCRIBED | EMERGENCY</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 type.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status</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STARTED | IN_PROGRESS | COMPLETED | GUIDANCE_ONLY | ABANDONED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journey status. COMPLETED is a concrete fix.</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started_at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 start date.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completed_at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Outcome date when completed/guidance reached.</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monthly_saving_rand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decimal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rand decimal</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Recurring monthly rand saved.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balance_impact_rand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decimal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rand decimal</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Balance arranged, challenged or written off.</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"journey_ref": "JNY-991201",</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"type": "CREDIT_LIFE",</w:t>
              <w:br/>
            </w:r>
            <w:r>
              <w:rPr>
                <w:rFonts w:ascii="Courier New" w:hAnsi="Courier New"/>
                <w:color w:val="17324D"/>
                <w:sz w:val="16"/>
              </w:rPr>
              <w:t xml:space="preserve">      "status": "COMPLETED",</w:t>
              <w:br/>
            </w:r>
            <w:r>
              <w:rPr>
                <w:rFonts w:ascii="Courier New" w:hAnsi="Courier New"/>
                <w:color w:val="17324D"/>
                <w:sz w:val="16"/>
              </w:rPr>
              <w:t xml:space="preserve">      "started_at": "2026-03-02",</w:t>
              <w:br/>
            </w:r>
            <w:r>
              <w:rPr>
                <w:rFonts w:ascii="Courier New" w:hAnsi="Courier New"/>
                <w:color w:val="17324D"/>
                <w:sz w:val="16"/>
              </w:rPr>
              <w:t xml:space="preserve">      "completed_at": "2026-03-20",</w:t>
              <w:br/>
            </w:r>
            <w:r>
              <w:rPr>
                <w:rFonts w:ascii="Courier New" w:hAnsi="Courier New"/>
                <w:color w:val="17324D"/>
                <w:sz w:val="16"/>
              </w:rPr>
              <w:t xml:space="preserve">      "monthly_saving_rand": 298.0,</w:t>
              <w:br/>
            </w:r>
            <w:r>
              <w:rPr>
                <w:rFonts w:ascii="Courier New" w:hAnsi="Courier New"/>
                <w:color w:val="17324D"/>
                <w:sz w:val="16"/>
              </w:rPr>
              <w:t xml:space="preserve">      "balance_impact_rand": 18830.0,</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11. Debt Account Observations</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debt_accounts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/api/optimise/debt_accounts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account_ref + observed_at</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DebtAccount / DebtAccountVersion</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Latest valid account observation selected as at the filter end; closed_at ends business life.</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observation per account and observed_at. The latest observation is the current projection; prior observations support exact as-at debt reporting.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account_ref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Stable source account identifier.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Account holder.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observed_at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Date this balance/state was observed; typically bureau extract date.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closed_at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Account close date when known.</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creditor_name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Named creditor.</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credit_type</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BANK_LOAN | RETAIL_STORE | MICROLOAN | OTHER_UNSECURED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Credit category.</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balance_rand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decimal</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rand decimal</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Outstanding balance at observed_at.</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in_arrears</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Whether the account was in arrears at observed_at.</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state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NONE | ACTIVE_INTERVENTION | CHALLENGED | GUIDED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Intervention state at observed_at.</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challenge_status</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IDENTIFIED | LETTER_SENT | CREDITOR_CONCEDED | WRITTEN_OFF</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Prescription challenge stage at observed_at.</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Related arrears/prescription journey.</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"account_ref": "ACC-55120",</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"observed_at": "2026-03-31",</w:t>
              <w:br/>
            </w:r>
            <w:r>
              <w:rPr>
                <w:rFonts w:ascii="Courier New" w:hAnsi="Courier New"/>
                <w:color w:val="17324D"/>
                <w:sz w:val="16"/>
              </w:rPr>
              <w:t xml:space="preserve">      "closed_at": "2026-04-15",</w:t>
              <w:br/>
            </w:r>
            <w:r>
              <w:rPr>
                <w:rFonts w:ascii="Courier New" w:hAnsi="Courier New"/>
                <w:color w:val="17324D"/>
                <w:sz w:val="16"/>
              </w:rPr>
              <w:t xml:space="preserve">      "creditor_name": "African Bank",</w:t>
              <w:br/>
            </w:r>
            <w:r>
              <w:rPr>
                <w:rFonts w:ascii="Courier New" w:hAnsi="Courier New"/>
                <w:color w:val="17324D"/>
                <w:sz w:val="16"/>
              </w:rPr>
              <w:t xml:space="preserve">      "credit_type": "BANK_LOAN",</w:t>
              <w:br/>
            </w:r>
            <w:r>
              <w:rPr>
                <w:rFonts w:ascii="Courier New" w:hAnsi="Courier New"/>
                <w:color w:val="17324D"/>
                <w:sz w:val="16"/>
              </w:rPr>
              <w:t xml:space="preserve">      "balance_rand": 18830.0,</w:t>
              <w:br/>
            </w:r>
            <w:r>
              <w:rPr>
                <w:rFonts w:ascii="Courier New" w:hAnsi="Courier New"/>
                <w:color w:val="17324D"/>
                <w:sz w:val="16"/>
              </w:rPr>
              <w:t xml:space="preserve">      "in_arrears": true,</w:t>
              <w:br/>
            </w:r>
            <w:r>
              <w:rPr>
                <w:rFonts w:ascii="Courier New" w:hAnsi="Courier New"/>
                <w:color w:val="17324D"/>
                <w:sz w:val="16"/>
              </w:rPr>
              <w:t xml:space="preserve">      "state": "ACTIVE_INTERVENTION",</w:t>
              <w:br/>
            </w:r>
            <w:r>
              <w:rPr>
                <w:rFonts w:ascii="Courier New" w:hAnsi="Courier New"/>
                <w:color w:val="17324D"/>
                <w:sz w:val="16"/>
              </w:rPr>
              <w:t xml:space="preserve">      "challenge_status": "LETTER_SENT",</w:t>
              <w:br/>
            </w:r>
            <w:r>
              <w:rPr>
                <w:rFonts w:ascii="Courier New" w:hAnsi="Courier New"/>
                <w:color w:val="17324D"/>
                <w:sz w:val="16"/>
              </w:rPr>
              <w:t xml:space="preserve">      "journey_ref": "JNY-991333",</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12. Insurance Policy Observations</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policies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/api/optimise/policies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policy_ref + observed_at</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InsurancePolicy / InsurancePolicyVersion</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Latest valid and effective policy observation selected as at the filter end; resolved_at controls resolution timing.</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observation per policy and observed_at. Effective and resolution dates prevent current policy state being projected backwards.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policy_ref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Stable policy identifier.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Policy holder.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observed_at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Date the premium/diagnostic state was observed.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effective_from</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Policy cover start date when known.</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effective_to</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Policy cover end date when known.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resolved_at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Date wasteful cover was replaced/consolidated.</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type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CREDIT_LIFE | FUNERAL | SHORT_TERM</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Cover type.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premium_rand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decimal</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rand decimal</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Monthly premium at observed_at.</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is_wasteful</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Duplicate/over-priced cover diagnostic at observed_at.</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is_resolved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Whether the identified waste was resolved by observed_at.</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"policy_ref": "POL-7781",</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"observed_at": "2026-03-31",</w:t>
              <w:br/>
            </w:r>
            <w:r>
              <w:rPr>
                <w:rFonts w:ascii="Courier New" w:hAnsi="Courier New"/>
                <w:color w:val="17324D"/>
                <w:sz w:val="16"/>
              </w:rPr>
              <w:t xml:space="preserve">      "effective_from": "2024-09-01",</w:t>
              <w:br/>
            </w:r>
            <w:r>
              <w:rPr>
                <w:rFonts w:ascii="Courier New" w:hAnsi="Courier New"/>
                <w:color w:val="17324D"/>
                <w:sz w:val="16"/>
              </w:rPr>
              <w:t xml:space="preserve">      "effective_to": "2026-04-30",</w:t>
              <w:br/>
            </w:r>
            <w:r>
              <w:rPr>
                <w:rFonts w:ascii="Courier New" w:hAnsi="Courier New"/>
                <w:color w:val="17324D"/>
                <w:sz w:val="16"/>
              </w:rPr>
              <w:t xml:space="preserve">      "resolved_at": "2026-03-20",</w:t>
              <w:br/>
            </w:r>
            <w:r>
              <w:rPr>
                <w:rFonts w:ascii="Courier New" w:hAnsi="Courier New"/>
                <w:color w:val="17324D"/>
                <w:sz w:val="16"/>
              </w:rPr>
              <w:t xml:space="preserve">      "type": "FUNERAL",</w:t>
              <w:br/>
            </w:r>
            <w:r>
              <w:rPr>
                <w:rFonts w:ascii="Courier New" w:hAnsi="Courier New"/>
                <w:color w:val="17324D"/>
                <w:sz w:val="16"/>
              </w:rPr>
              <w:t xml:space="preserve">      "premium_rand": 189.0,</w:t>
              <w:br/>
            </w:r>
            <w:r>
              <w:rPr>
                <w:rFonts w:ascii="Courier New" w:hAnsi="Courier New"/>
                <w:color w:val="17324D"/>
                <w:sz w:val="16"/>
              </w:rPr>
              <w:t xml:space="preserve">      "is_wasteful": true,</w:t>
              <w:br/>
            </w:r>
            <w:r>
              <w:rPr>
                <w:rFonts w:ascii="Courier New" w:hAnsi="Courier New"/>
                <w:color w:val="17324D"/>
                <w:sz w:val="16"/>
              </w:rPr>
              <w:t xml:space="preserve">      "is_resolved": true,</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13. Experience Ratings</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ratings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/api/optimise/ratings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rating_ref</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Rating</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Flow event created inside the selected window.</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row per post-journey star rating. created_at is the selected-period event date.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rating_ref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Unique rating identifier.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Employee who rated.</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journey_type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CREDIT_LIFE | FUNERAL | SHORT_TERM | ARREARS | PRESCRIBED | EMERGENCY</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 rated.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stars</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int</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1–5</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Rating from 1 to 5.</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Rating event date.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"rating_ref": "RTG-3310",</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"journey_type": "CREDIT_LIFE",</w:t>
              <w:br/>
            </w:r>
            <w:r>
              <w:rPr>
                <w:rFonts w:ascii="Courier New" w:hAnsi="Courier New"/>
                <w:color w:val="17324D"/>
                <w:sz w:val="16"/>
              </w:rPr>
              <w:t xml:space="preserve">      "stars": 5,</w:t>
              <w:br/>
            </w:r>
            <w:r>
              <w:rPr>
                <w:rFonts w:ascii="Courier New" w:hAnsi="Courier New"/>
                <w:color w:val="17324D"/>
                <w:sz w:val="16"/>
              </w:rPr>
              <w:t xml:space="preserve">      "created_at": "2026-03-21",</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14. Voice of the Employee (Chat)</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chat_sessions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/api/optimise/chat_sessions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session_ref</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ChatSession</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Flow event started inside the selected window.</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row per chat session. started_at is the selected-period event date.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session_ref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Unique chat session identifier.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Tokenised employee key required for site and income-band filtering.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journey_type</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CREDIT_LIFE | FUNERAL | SHORT_TERM | ARREARS | PRESCRIBED | EMERGENCY</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 discussed.</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resolved_in_chat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Resolved without human handoff.</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first_reply_seconds</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int</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seconds</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Seconds to first response.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satisfaction</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int</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1–5</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Post-chat rating from 1 to 5.</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sentiment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decimal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-1.0 to 1.0</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Classifier sentiment from -1.0 to 1.0.</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theme</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Short conversation theme/tag.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primary_question</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Main employee question used for trending questions.</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started_at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Chat event date.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"session_ref": "CHT-20025",</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"journey_type": "ARREARS",</w:t>
              <w:br/>
            </w:r>
            <w:r>
              <w:rPr>
                <w:rFonts w:ascii="Courier New" w:hAnsi="Courier New"/>
                <w:color w:val="17324D"/>
                <w:sz w:val="16"/>
              </w:rPr>
              <w:t xml:space="preserve">      "resolved_in_chat": true,</w:t>
              <w:br/>
            </w:r>
            <w:r>
              <w:rPr>
                <w:rFonts w:ascii="Courier New" w:hAnsi="Courier New"/>
                <w:color w:val="17324D"/>
                <w:sz w:val="16"/>
              </w:rPr>
              <w:t xml:space="preserve">      "first_reply_seconds": 45,</w:t>
              <w:br/>
            </w:r>
            <w:r>
              <w:rPr>
                <w:rFonts w:ascii="Courier New" w:hAnsi="Courier New"/>
                <w:color w:val="17324D"/>
                <w:sz w:val="16"/>
              </w:rPr>
              <w:t xml:space="preserve">      "satisfaction": 4,</w:t>
              <w:br/>
            </w:r>
            <w:r>
              <w:rPr>
                <w:rFonts w:ascii="Courier New" w:hAnsi="Courier New"/>
                <w:color w:val="17324D"/>
                <w:sz w:val="16"/>
              </w:rPr>
              <w:t xml:space="preserve">      "sentiment": 0.6,</w:t>
              <w:br/>
            </w:r>
            <w:r>
              <w:rPr>
                <w:rFonts w:ascii="Courier New" w:hAnsi="Courier New"/>
                <w:color w:val="17324D"/>
                <w:sz w:val="16"/>
              </w:rPr>
              <w:t xml:space="preserve">      "theme": "Is this legit",</w:t>
              <w:br/>
            </w:r>
            <w:r>
              <w:rPr>
                <w:rFonts w:ascii="Courier New" w:hAnsi="Courier New"/>
                <w:color w:val="17324D"/>
                <w:sz w:val="16"/>
              </w:rPr>
              <w:t xml:space="preserve">      "primary_question": "Will replacing my credit life affect my credit score?",</w:t>
              <w:br/>
            </w:r>
            <w:r>
              <w:rPr>
                <w:rFonts w:ascii="Courier New" w:hAnsi="Courier New"/>
                <w:color w:val="17324D"/>
                <w:sz w:val="16"/>
              </w:rPr>
              <w:t xml:space="preserve">      "started_at": "2026-03-18",</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15. Referrals &amp; Sharing</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referrals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/api/optimise/referrals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referral_ref</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Referral</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Share event inside the window; converted_at records the later conversion event.</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row per share. shared_at is the activity date; converted_at records the later conversion event.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referral_ref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Unique share/referral identifier.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Employee who shared.</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channel</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Share channel, such as WhatsApp, SMS or Email.</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shared_at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Share event date.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converted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Whether the share led to enrolment.</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converted_at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Conversion event date when converted is true.</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"referral_ref": "REF-8801",</w:t>
              <w:br/>
            </w:r>
            <w:r>
              <w:rPr>
                <w:rFonts w:ascii="Courier New" w:hAnsi="Courier New"/>
                <w:color w:val="17324D"/>
                <w:sz w:val="16"/>
              </w:rPr>
              <w:t xml:space="preserve">      "employer_ref": "VIG",</w:t>
              <w:br/>
            </w:r>
            <w:r>
              <w:rPr>
                <w:rFonts w:ascii="Courier New" w:hAnsi="Courier New"/>
                <w:color w:val="17324D"/>
                <w:sz w:val="16"/>
              </w:rPr>
              <w:t xml:space="preserve">      "payroll_ref": "EMP-004821",</w:t>
              <w:br/>
            </w:r>
            <w:r>
              <w:rPr>
                <w:rFonts w:ascii="Courier New" w:hAnsi="Courier New"/>
                <w:color w:val="17324D"/>
                <w:sz w:val="16"/>
              </w:rPr>
              <w:t xml:space="preserve">      "channel": "WhatsApp",</w:t>
              <w:br/>
            </w:r>
            <w:r>
              <w:rPr>
                <w:rFonts w:ascii="Courier New" w:hAnsi="Courier New"/>
                <w:color w:val="17324D"/>
                <w:sz w:val="16"/>
              </w:rPr>
              <w:t xml:space="preserve">      "shared_at": "2026-03-19",</w:t>
              <w:br/>
            </w:r>
            <w:r>
              <w:rPr>
                <w:rFonts w:ascii="Courier New" w:hAnsi="Courier New"/>
                <w:color w:val="17324D"/>
                <w:sz w:val="16"/>
              </w:rPr>
              <w:t xml:space="preserve">      "converted": true,</w:t>
              <w:br/>
            </w:r>
            <w:r>
              <w:rPr>
                <w:rFonts w:ascii="Courier New" w:hAnsi="Courier New"/>
                <w:color w:val="17324D"/>
                <w:sz w:val="16"/>
              </w:rPr>
              <w:t xml:space="preserve">      "converted_at": "2026-03-22",</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16. Early Wage Access</w:t>
      </w:r>
    </w:p>
    <w:tbl>
      <w:tblPr>
        <w:tblW w:type="auto" w:w="0"/>
        <w:jc w:val="center"/>
        <w:tblLayout w:type="fixed"/>
        <w:tblLook w:firstColumn="1" w:firstRow="1" w:lastColumn="0" w:lastRow="0" w:noHBand="0" w:noVBand="1" w:val="04A0"/>
      </w:tblPr>
      <w:tblGrid>
        <w:gridCol w:w="5040"/>
        <w:gridCol w:w="5040"/>
      </w:tblGrid>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Report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salary_advances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Endpoint</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GET /api/optimise/salary_advances</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Natural key</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salary_advance_id</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Database entity</w:t>
            </w:r>
          </w:p>
        </w:tc>
        <w:tc>
          <w:tcPr>
            <w:tcW w:type="dxa" w:w="7776"/>
            <w:shd w:fill="F4F9FC"/>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SalaryAdvance</w:t>
            </w:r>
          </w:p>
        </w:tc>
      </w:tr>
      <w:tr>
        <w:trPr>
          <w:cantSplit/>
        </w:trPr>
        <w:tc>
          <w:tcPr>
            <w:tcW w:type="dxa" w:w="2088"/>
            <w:shd w:fill="EAF4FB"/>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i w:val="0"/>
                <w:color w:val="003A66"/>
                <w:sz w:val="18"/>
              </w:rPr>
              <w:t>Time behaviour</w:t>
            </w:r>
          </w:p>
        </w:tc>
        <w:tc>
          <w:tcPr>
            <w:tcW w:type="dxa" w:w="7776"/>
            <w:tcMar>
              <w:top w:w="80" w:type="dxa"/>
              <w:start w:w="100" w:type="dxa"/>
              <w:bottom w:w="8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pPr>
            <w:r/>
            <w:r>
              <w:rPr>
                <w:rFonts w:ascii="Arial" w:hAnsi="Arial"/>
                <w:b w:val="0"/>
                <w:i w:val="0"/>
                <w:color w:val="17324D"/>
                <w:sz w:val="18"/>
              </w:rPr>
              <w:t>Finalised advances whose mandatory advanced_at falls inside the selected window.</w:t>
            </w:r>
          </w:p>
        </w:tc>
      </w:tr>
    </w:tbl>
    <w:p>
      <w:pPr>
        <w:keepNext w:val="0"/>
        <w:keepLines w:val="0"/>
        <w:spacing w:before="0" w:after="40" w:line="276" w:lineRule="auto"/>
      </w:pPr>
      <w:r>
        <w:rPr>
          <w:rFonts w:ascii="Arial" w:hAnsi="Arial"/>
          <w:b w:val="0"/>
          <w:i w:val="0"/>
          <w:color w:val="17324D"/>
          <w:sz w:val="2"/>
        </w:rPr>
      </w:r>
    </w:p>
    <w:p>
      <w:pPr>
        <w:keepNext w:val="0"/>
        <w:keepLines w:val="0"/>
        <w:spacing w:before="0" w:after="140" w:line="278" w:lineRule="auto"/>
      </w:pPr>
      <w:r>
        <w:rPr>
          <w:rFonts w:ascii="Arial" w:hAnsi="Arial"/>
          <w:b w:val="0"/>
          <w:i w:val="0"/>
          <w:color w:val="17324D"/>
          <w:sz w:val="20"/>
        </w:rPr>
        <w:t>One row per salary advance. advanced_at is mandatory; import time must never be substituted for business time.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62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Field</w:t>
            </w:r>
          </w:p>
        </w:tc>
        <w:tc>
          <w:tcPr>
            <w:tcW w:type="dxa" w:w="139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i w:val="0"/>
                <w:color w:val="FFFFFF"/>
                <w:sz w:val="18"/>
              </w:rPr>
              <w:t>Type / requirement</w:t>
            </w:r>
          </w:p>
        </w:tc>
        <w:tc>
          <w:tcPr>
            <w:tcW w:type="dxa" w:w="21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Allowed / unit</w:t>
            </w:r>
          </w:p>
        </w:tc>
        <w:tc>
          <w:tcPr>
            <w:tcW w:type="dxa" w:w="37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Description</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salary_advance_id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Unique advance identifier.</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code.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client_id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EWA client identifier used for unique-client counts.</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payroll_ref</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string</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Tokenised payroll key required for site and income-band filtering.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amount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decimal</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rand decimal</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Advance amount in rands.</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salary_advance_status</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FINALISED | PENDING | DECLINED | CANCELLED</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Only FINALISED contributes to headline totals.</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bank_account_verification_status</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enum</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PASSED | FAILED | PENDING | NOT_RUN</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Bank-verification result.</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blacklisted</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Whether the client was blacklisted at source update time.</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advanced_at</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w:t>
              <w:br/>
              <w:t>Required</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YYYY-MM-DD</w:t>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Advance business date used for period filtering.</w:t>
            </w:r>
          </w:p>
        </w:tc>
      </w:tr>
      <w:tr>
        <w:trPr>
          <w:cantSplit/>
        </w:trPr>
        <w:tc>
          <w:tcPr>
            <w:tcW w:type="dxa" w:w="262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source_updated_at</w:t>
            </w:r>
          </w:p>
        </w:tc>
        <w:tc>
          <w:tcPr>
            <w:tcW w:type="dxa" w:w="139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datetime</w:t>
              <w:br/>
              <w:t>Required</w:t>
            </w:r>
          </w:p>
        </w:tc>
        <w:tc>
          <w:tcPr>
            <w:tcW w:type="dxa" w:w="21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ISO-8601 + timezone</w:t>
            </w:r>
          </w:p>
        </w:tc>
        <w:tc>
          <w:tcPr>
            <w:tcW w:type="dxa" w:w="37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UTC timestamp of the last source-system change. Used for incremental pulls and last-write ordering.</w:t>
            </w:r>
          </w:p>
        </w:tc>
      </w:tr>
      <w:tr>
        <w:trPr>
          <w:cantSplit/>
        </w:trPr>
        <w:tc>
          <w:tcPr>
            <w:tcW w:type="dxa" w:w="262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is_deleted</w:t>
            </w:r>
          </w:p>
        </w:tc>
        <w:tc>
          <w:tcPr>
            <w:tcW w:type="dxa" w:w="139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center"/>
            </w:pPr>
            <w:r/>
            <w:r>
              <w:rPr>
                <w:rFonts w:ascii="Arial" w:hAnsi="Arial"/>
                <w:b w:val="0"/>
                <w:i w:val="0"/>
                <w:color w:val="17324D"/>
                <w:sz w:val="17"/>
              </w:rPr>
              <w:t>bool</w:t>
              <w:br/>
              <w:t>Optional</w:t>
            </w:r>
          </w:p>
        </w:tc>
        <w:tc>
          <w:tcPr>
            <w:tcW w:type="dxa" w:w="21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r>
          </w:p>
        </w:tc>
        <w:tc>
          <w:tcPr>
            <w:tcW w:type="dxa" w:w="37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Technical tombstone that retracts this natural-key record while retaining its audit trail. Use business end dates/statuses for lifecycle changes.</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Example response</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w:t>
              <w:br/>
            </w:r>
            <w:r>
              <w:rPr>
                <w:rFonts w:ascii="Courier New" w:hAnsi="Courier New"/>
                <w:color w:val="17324D"/>
                <w:sz w:val="16"/>
              </w:rPr>
              <w:t xml:space="preserve">  "records": [</w:t>
              <w:br/>
            </w:r>
            <w:r>
              <w:rPr>
                <w:rFonts w:ascii="Courier New" w:hAnsi="Courier New"/>
                <w:color w:val="17324D"/>
                <w:sz w:val="16"/>
              </w:rPr>
              <w:t xml:space="preserve">    {</w:t>
              <w:br/>
            </w:r>
            <w:r>
              <w:rPr>
                <w:rFonts w:ascii="Courier New" w:hAnsi="Courier New"/>
                <w:color w:val="17324D"/>
                <w:sz w:val="16"/>
              </w:rPr>
              <w:t xml:space="preserve">      "salary_advance_id": "287646",</w:t>
              <w:br/>
            </w:r>
            <w:r>
              <w:rPr>
                <w:rFonts w:ascii="Courier New" w:hAnsi="Courier New"/>
                <w:color w:val="17324D"/>
                <w:sz w:val="16"/>
              </w:rPr>
              <w:t xml:space="preserve">      "employer_ref": "VIG",</w:t>
              <w:br/>
            </w:r>
            <w:r>
              <w:rPr>
                <w:rFonts w:ascii="Courier New" w:hAnsi="Courier New"/>
                <w:color w:val="17324D"/>
                <w:sz w:val="16"/>
              </w:rPr>
              <w:t xml:space="preserve">      "client_id": "132368",</w:t>
              <w:br/>
            </w:r>
            <w:r>
              <w:rPr>
                <w:rFonts w:ascii="Courier New" w:hAnsi="Courier New"/>
                <w:color w:val="17324D"/>
                <w:sz w:val="16"/>
              </w:rPr>
              <w:t xml:space="preserve">      "payroll_ref": "EMP-004821",</w:t>
              <w:br/>
            </w:r>
            <w:r>
              <w:rPr>
                <w:rFonts w:ascii="Courier New" w:hAnsi="Courier New"/>
                <w:color w:val="17324D"/>
                <w:sz w:val="16"/>
              </w:rPr>
              <w:t xml:space="preserve">      "amount": 1500.0,</w:t>
              <w:br/>
            </w:r>
            <w:r>
              <w:rPr>
                <w:rFonts w:ascii="Courier New" w:hAnsi="Courier New"/>
                <w:color w:val="17324D"/>
                <w:sz w:val="16"/>
              </w:rPr>
              <w:t xml:space="preserve">      "salary_advance_status": "FINALISED",</w:t>
              <w:br/>
            </w:r>
            <w:r>
              <w:rPr>
                <w:rFonts w:ascii="Courier New" w:hAnsi="Courier New"/>
                <w:color w:val="17324D"/>
                <w:sz w:val="16"/>
              </w:rPr>
              <w:t xml:space="preserve">      "bank_account_verification_status": "PASSED",</w:t>
              <w:br/>
            </w:r>
            <w:r>
              <w:rPr>
                <w:rFonts w:ascii="Courier New" w:hAnsi="Courier New"/>
                <w:color w:val="17324D"/>
                <w:sz w:val="16"/>
              </w:rPr>
              <w:t xml:space="preserve">      "blacklisted": false,</w:t>
              <w:br/>
            </w:r>
            <w:r>
              <w:rPr>
                <w:rFonts w:ascii="Courier New" w:hAnsi="Courier New"/>
                <w:color w:val="17324D"/>
                <w:sz w:val="16"/>
              </w:rPr>
              <w:t xml:space="preserve">      "advanced_at": "2026-03-12",</w:t>
              <w:br/>
            </w:r>
            <w:r>
              <w:rPr>
                <w:rFonts w:ascii="Courier New" w:hAnsi="Courier New"/>
                <w:color w:val="17324D"/>
                <w:sz w:val="16"/>
              </w:rPr>
              <w:t xml:space="preserve">      "source_updated_at": "2026-04-01T08:00:00Z",</w:t>
              <w:br/>
            </w:r>
            <w:r>
              <w:rPr>
                <w:rFonts w:ascii="Courier New" w:hAnsi="Courier New"/>
                <w:color w:val="17324D"/>
                <w:sz w:val="16"/>
              </w:rPr>
              <w:t xml:space="preserve">      "is_deleted": false</w:t>
              <w:br/>
            </w:r>
            <w:r>
              <w:rPr>
                <w:rFonts w:ascii="Courier New" w:hAnsi="Courier New"/>
                <w:color w:val="17324D"/>
                <w:sz w:val="16"/>
              </w:rPr>
              <w:t xml:space="preserve">    }</w:t>
              <w:br/>
            </w:r>
            <w:r>
              <w:rPr>
                <w:rFonts w:ascii="Courier New" w:hAnsi="Courier New"/>
                <w:color w:val="17324D"/>
                <w:sz w:val="16"/>
              </w:rPr>
              <w:t xml:space="preserve">  ]</w:t>
              <w:br/>
            </w:r>
            <w:r>
              <w:rPr>
                <w:rFonts w:ascii="Courier New" w:hAnsi="Courier New"/>
                <w:color w:val="17324D"/>
                <w:sz w:val="16"/>
              </w:rPr>
              <w:t>}</w:t>
            </w:r>
          </w:p>
        </w:tc>
      </w:tr>
    </w:tbl>
    <w:p>
      <w:pPr>
        <w:keepNext w:val="0"/>
        <w:keepLines w:val="0"/>
        <w:spacing w:before="0" w:after="40" w:line="276" w:lineRule="auto"/>
      </w:pPr>
      <w:r>
        <w:rPr>
          <w:rFonts w:ascii="Arial" w:hAnsi="Arial"/>
          <w:b w:val="0"/>
          <w:i w:val="0"/>
          <w:color w:val="17324D"/>
          <w:sz w:val="2"/>
        </w:rPr>
      </w:r>
    </w:p>
    <w:p>
      <w:pPr>
        <w:pStyle w:val="Heading1"/>
        <w:keepNext/>
        <w:keepLines w:val="0"/>
        <w:pageBreakBefore/>
        <w:spacing w:before="160" w:after="100" w:line="240" w:lineRule="auto"/>
      </w:pPr>
      <w:r>
        <w:rPr>
          <w:rFonts w:ascii="Arial" w:hAnsi="Arial"/>
          <w:b/>
          <w:color w:val="003A66"/>
          <w:sz w:val="34"/>
        </w:rPr>
        <w:t>17. Dashboard mapping summary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Source feed</w:t>
            </w:r>
          </w:p>
        </w:tc>
        <w:tc>
          <w:tcPr>
            <w:tcW w:type="dxa" w:w="3384"/>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Main portal use</w:t>
            </w:r>
          </w:p>
        </w:tc>
        <w:tc>
          <w:tcPr>
            <w:tcW w:type="dxa" w:w="4031"/>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Time behaviour</w:t>
            </w:r>
          </w:p>
        </w:tc>
      </w:tr>
      <w:tr>
        <w:trPr>
          <w:cantSplit/>
        </w:trPr>
        <w:tc>
          <w:tcPr>
            <w:tcW w:type="dxa" w:w="244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employers</w:t>
            </w:r>
          </w:p>
        </w:tc>
        <w:tc>
          <w:tcPr>
            <w:tcW w:type="dxa" w:w="338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identity/current cache</w:t>
            </w:r>
          </w:p>
        </w:tc>
        <w:tc>
          <w:tcPr>
            <w:tcW w:type="dxa" w:w="40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Master/current</w:t>
            </w:r>
          </w:p>
        </w:tc>
      </w:tr>
      <w:tr>
        <w:trPr>
          <w:cantSplit/>
        </w:trPr>
        <w:tc>
          <w:tcPr>
            <w:tcW w:type="dxa" w:w="244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workforce_snapshots</w:t>
            </w:r>
          </w:p>
        </w:tc>
        <w:tc>
          <w:tcPr>
            <w:tcW w:type="dxa" w:w="338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Eligible denominator</w:t>
            </w:r>
          </w:p>
        </w:tc>
        <w:tc>
          <w:tcPr>
            <w:tcW w:type="dxa" w:w="40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Latest as-of observation</w:t>
            </w:r>
          </w:p>
        </w:tc>
      </w:tr>
      <w:tr>
        <w:trPr>
          <w:cantSplit/>
        </w:trPr>
        <w:tc>
          <w:tcPr>
            <w:tcW w:type="dxa" w:w="244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employees</w:t>
            </w:r>
          </w:p>
        </w:tc>
        <w:tc>
          <w:tcPr>
            <w:tcW w:type="dxa" w:w="338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Eligibility, site and income cohort</w:t>
            </w:r>
          </w:p>
        </w:tc>
        <w:tc>
          <w:tcPr>
            <w:tcW w:type="dxa" w:w="40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Latest valid observation as at end</w:t>
            </w:r>
          </w:p>
        </w:tc>
      </w:tr>
      <w:tr>
        <w:trPr>
          <w:cantSplit/>
        </w:trPr>
        <w:tc>
          <w:tcPr>
            <w:tcW w:type="dxa" w:w="244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platform_users</w:t>
            </w:r>
          </w:p>
        </w:tc>
        <w:tc>
          <w:tcPr>
            <w:tcW w:type="dxa" w:w="338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Enrolment and activation funnel</w:t>
            </w:r>
          </w:p>
        </w:tc>
        <w:tc>
          <w:tcPr>
            <w:tcW w:type="dxa" w:w="40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Cumulative by as-at</w:t>
            </w:r>
          </w:p>
        </w:tc>
      </w:tr>
      <w:tr>
        <w:trPr>
          <w:cantSplit/>
        </w:trPr>
        <w:tc>
          <w:tcPr>
            <w:tcW w:type="dxa" w:w="244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journeys</w:t>
            </w:r>
          </w:p>
        </w:tc>
        <w:tc>
          <w:tcPr>
            <w:tcW w:type="dxa" w:w="338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Funnel, outcomes and savings</w:t>
            </w:r>
          </w:p>
        </w:tc>
        <w:tc>
          <w:tcPr>
            <w:tcW w:type="dxa" w:w="40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Cumulative stock plus completed-in-window flow</w:t>
            </w:r>
          </w:p>
        </w:tc>
      </w:tr>
      <w:tr>
        <w:trPr>
          <w:cantSplit/>
        </w:trPr>
        <w:tc>
          <w:tcPr>
            <w:tcW w:type="dxa" w:w="244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debt_accounts</w:t>
            </w:r>
          </w:p>
        </w:tc>
        <w:tc>
          <w:tcPr>
            <w:tcW w:type="dxa" w:w="338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Risk, creditors and debt states</w:t>
            </w:r>
          </w:p>
        </w:tc>
        <w:tc>
          <w:tcPr>
            <w:tcW w:type="dxa" w:w="40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Latest account observation as at end</w:t>
            </w:r>
          </w:p>
        </w:tc>
      </w:tr>
      <w:tr>
        <w:trPr>
          <w:cantSplit/>
        </w:trPr>
        <w:tc>
          <w:tcPr>
            <w:tcW w:type="dxa" w:w="244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policies</w:t>
            </w:r>
          </w:p>
        </w:tc>
        <w:tc>
          <w:tcPr>
            <w:tcW w:type="dxa" w:w="338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Insurance efficiency and opportunity</w:t>
            </w:r>
          </w:p>
        </w:tc>
        <w:tc>
          <w:tcPr>
            <w:tcW w:type="dxa" w:w="40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Latest effective observation as at end</w:t>
            </w:r>
          </w:p>
        </w:tc>
      </w:tr>
      <w:tr>
        <w:trPr>
          <w:cantSplit/>
        </w:trPr>
        <w:tc>
          <w:tcPr>
            <w:tcW w:type="dxa" w:w="244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ratings</w:t>
            </w:r>
          </w:p>
        </w:tc>
        <w:tc>
          <w:tcPr>
            <w:tcW w:type="dxa" w:w="338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Satisfaction and NPS</w:t>
            </w:r>
          </w:p>
        </w:tc>
        <w:tc>
          <w:tcPr>
            <w:tcW w:type="dxa" w:w="40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created_at inside window</w:t>
            </w:r>
          </w:p>
        </w:tc>
      </w:tr>
      <w:tr>
        <w:trPr>
          <w:cantSplit/>
        </w:trPr>
        <w:tc>
          <w:tcPr>
            <w:tcW w:type="dxa" w:w="244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chat_sessions</w:t>
            </w:r>
          </w:p>
        </w:tc>
        <w:tc>
          <w:tcPr>
            <w:tcW w:type="dxa" w:w="338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Chat KPIs and themes</w:t>
            </w:r>
          </w:p>
        </w:tc>
        <w:tc>
          <w:tcPr>
            <w:tcW w:type="dxa" w:w="40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started_at inside window</w:t>
            </w:r>
          </w:p>
        </w:tc>
      </w:tr>
      <w:tr>
        <w:trPr>
          <w:cantSplit/>
        </w:trPr>
        <w:tc>
          <w:tcPr>
            <w:tcW w:type="dxa" w:w="244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referrals</w:t>
            </w:r>
          </w:p>
        </w:tc>
        <w:tc>
          <w:tcPr>
            <w:tcW w:type="dxa" w:w="3384"/>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Sharing and reach</w:t>
            </w:r>
          </w:p>
        </w:tc>
        <w:tc>
          <w:tcPr>
            <w:tcW w:type="dxa" w:w="4031"/>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shared_at inside window</w:t>
            </w:r>
          </w:p>
        </w:tc>
      </w:tr>
      <w:tr>
        <w:trPr>
          <w:cantSplit/>
        </w:trPr>
        <w:tc>
          <w:tcPr>
            <w:tcW w:type="dxa" w:w="244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salary_advances</w:t>
            </w:r>
          </w:p>
        </w:tc>
        <w:tc>
          <w:tcPr>
            <w:tcW w:type="dxa" w:w="3384"/>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EWA uptake, value and trend</w:t>
            </w:r>
          </w:p>
        </w:tc>
        <w:tc>
          <w:tcPr>
            <w:tcW w:type="dxa" w:w="4031"/>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FINALISED and advanced_at inside window</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17.1 Complete payload requirement</w:t>
      </w:r>
    </w:p>
    <w:tbl>
      <w:tblPr>
        <w:tblW w:type="auto" w:w="0"/>
        <w:jc w:val="center"/>
        <w:tblLayout w:type="fixed"/>
        <w:tblLook w:firstColumn="1" w:firstRow="1" w:lastColumn="0" w:lastRow="0" w:noHBand="0" w:noVBand="1" w:val="04A0"/>
      </w:tblPr>
      <w:tblGrid>
        <w:gridCol w:w="10080"/>
      </w:tblGrid>
      <w:tr>
        <w:tc>
          <w:tcPr>
            <w:tcW w:type="dxa" w:w="9864"/>
            <w:shd w:fill="EAF5EF"/>
            <w:tcMar>
              <w:top w:w="150" w:type="dxa"/>
              <w:start w:w="190" w:type="dxa"/>
              <w:bottom w:w="150" w:type="dxa"/>
              <w:end w:w="190" w:type="dxa"/>
            </w:tcMar>
            <w:tcBorders>
              <w:top w:val="single" w:sz="3" w:color="EAF5EF"/>
              <w:bottom w:val="single" w:sz="3" w:color="EAF5EF"/>
              <w:start w:val="single" w:sz="22" w:color="137A47"/>
              <w:end w:val="single" w:sz="3" w:color="EAF5EF"/>
            </w:tcBorders>
          </w:tcPr>
          <w:p>
            <w:pPr>
              <w:keepNext/>
              <w:keepLines w:val="0"/>
              <w:spacing w:before="0" w:after="80" w:line="240" w:lineRule="auto"/>
            </w:pPr>
            <w:r>
              <w:rPr>
                <w:rFonts w:ascii="Arial" w:hAnsi="Arial"/>
                <w:b/>
                <w:color w:val="137A47"/>
                <w:sz w:val="22"/>
              </w:rPr>
              <w:t>No silent substitution</w:t>
            </w:r>
          </w:p>
          <w:p>
            <w:pPr>
              <w:keepNext w:val="0"/>
              <w:keepLines w:val="0"/>
              <w:spacing w:before="0" w:after="0" w:line="274" w:lineRule="auto"/>
            </w:pPr>
            <w:r>
              <w:rPr>
                <w:rFonts w:ascii="Arial" w:hAnsi="Arial"/>
                <w:color w:val="17324D"/>
                <w:sz w:val="20"/>
              </w:rPr>
              <w:t>A monthly snapshot stores the complete calculated dashboard payload with rangeStart, rangeEnd, asAt, payloadVersion, active weights and calculation timestamp. The browser never fills missing live fields from demonstration data.</w:t>
            </w:r>
          </w:p>
        </w:tc>
      </w:tr>
    </w:tbl>
    <w:p>
      <w:pPr>
        <w:keepNext w:val="0"/>
        <w:keepLines w:val="0"/>
        <w:spacing w:before="0" w:after="6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17.2 Portfolio consistency</w:t>
      </w:r>
    </w:p>
    <w:p>
      <w:pPr>
        <w:keepNext w:val="0"/>
        <w:keepLines w:val="0"/>
        <w:spacing w:before="0" w:after="120" w:line="276" w:lineRule="auto"/>
      </w:pPr>
      <w:r>
        <w:rPr>
          <w:rFonts w:ascii="Arial" w:hAnsi="Arial"/>
          <w:b w:val="0"/>
          <w:i w:val="0"/>
          <w:color w:val="17324D"/>
          <w:sz w:val="20"/>
        </w:rPr>
        <w:t>The internal portfolio endpoint calculates each authorised employer through the same dated dashboard builder. It does not maintain a second simulated calculation model. Employer-specific site filters are not applied across the portfolio; the portfolio is compared on a common period/range basis.</w:t>
      </w:r>
    </w:p>
    <w:p>
      <w:pPr>
        <w:pStyle w:val="Heading1"/>
        <w:keepNext/>
        <w:keepLines w:val="0"/>
        <w:pageBreakBefore/>
        <w:spacing w:before="160" w:after="100" w:line="240" w:lineRule="auto"/>
      </w:pPr>
      <w:r>
        <w:rPr>
          <w:rFonts w:ascii="Arial" w:hAnsi="Arial"/>
          <w:b/>
          <w:color w:val="003A66"/>
          <w:sz w:val="34"/>
        </w:rPr>
        <w:t>18. Database and portal structure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5"/>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Layer</w:t>
            </w:r>
          </w:p>
        </w:tc>
        <w:tc>
          <w:tcPr>
            <w:tcW w:type="dxa" w:w="3960"/>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Primary models</w:t>
            </w:r>
          </w:p>
        </w:tc>
        <w:tc>
          <w:tcPr>
            <w:tcW w:type="dxa" w:w="3888"/>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Purpose</w:t>
            </w:r>
          </w:p>
        </w:tc>
      </w:tr>
      <w:tr>
        <w:trPr>
          <w:cantSplit/>
        </w:trPr>
        <w:tc>
          <w:tcPr>
            <w:tcW w:type="dxa" w:w="20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Current projections</w:t>
            </w:r>
          </w:p>
        </w:tc>
        <w:tc>
          <w:tcPr>
            <w:tcW w:type="dxa" w:w="396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 Employee, PlatformUser, Journey, DebtAccount, InsurancePolicy</w:t>
            </w:r>
          </w:p>
        </w:tc>
        <w:tc>
          <w:tcPr>
            <w:tcW w:type="dxa" w:w="388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Fast current application access; source_updated_at orders mutable records</w:t>
            </w:r>
          </w:p>
        </w:tc>
      </w:tr>
      <w:tr>
        <w:trPr>
          <w:cantSplit/>
        </w:trPr>
        <w:tc>
          <w:tcPr>
            <w:tcW w:type="dxa" w:w="20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Immutable observations</w:t>
            </w:r>
          </w:p>
        </w:tc>
        <w:tc>
          <w:tcPr>
            <w:tcW w:type="dxa" w:w="396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EmployerHeadcountSnapshot, EmployeeVersion, DebtAccountVersion, InsurancePolicyVersion</w:t>
            </w:r>
          </w:p>
        </w:tc>
        <w:tc>
          <w:tcPr>
            <w:tcW w:type="dxa" w:w="388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Historical as-at reconstruction</w:t>
            </w:r>
          </w:p>
        </w:tc>
      </w:tr>
      <w:tr>
        <w:trPr>
          <w:cantSplit/>
        </w:trPr>
        <w:tc>
          <w:tcPr>
            <w:tcW w:type="dxa" w:w="20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Event facts</w:t>
            </w:r>
          </w:p>
        </w:tc>
        <w:tc>
          <w:tcPr>
            <w:tcW w:type="dxa" w:w="396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Rating, ChatSession, Referral, SalaryAdvance</w:t>
            </w:r>
          </w:p>
        </w:tc>
        <w:tc>
          <w:tcPr>
            <w:tcW w:type="dxa" w:w="388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Selected-period flow metrics</w:t>
            </w:r>
          </w:p>
        </w:tc>
      </w:tr>
      <w:tr>
        <w:trPr>
          <w:cantSplit/>
        </w:trPr>
        <w:tc>
          <w:tcPr>
            <w:tcW w:type="dxa" w:w="20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Derived layer</w:t>
            </w:r>
          </w:p>
        </w:tc>
        <w:tc>
          <w:tcPr>
            <w:tcW w:type="dxa" w:w="396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ScoreSnapshot</w:t>
            </w:r>
          </w:p>
        </w:tc>
        <w:tc>
          <w:tcPr>
            <w:tcW w:type="dxa" w:w="388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Complete payload, weights, range/as-at context and score history</w:t>
            </w:r>
          </w:p>
        </w:tc>
      </w:tr>
      <w:tr>
        <w:trPr>
          <w:cantSplit/>
        </w:trPr>
        <w:tc>
          <w:tcPr>
            <w:tcW w:type="dxa" w:w="2015"/>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Integration control</w:t>
            </w:r>
          </w:p>
        </w:tc>
        <w:tc>
          <w:tcPr>
            <w:tcW w:type="dxa" w:w="3960"/>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IntegrationCursor, SyncLog, ImportBatch</w:t>
            </w:r>
          </w:p>
        </w:tc>
        <w:tc>
          <w:tcPr>
            <w:tcW w:type="dxa" w:w="388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Per-report cursors, audit trail and inserted/updated/deleted/stale counts</w:t>
            </w:r>
          </w:p>
        </w:tc>
      </w:tr>
      <w:tr>
        <w:trPr>
          <w:cantSplit/>
        </w:trPr>
        <w:tc>
          <w:tcPr>
            <w:tcW w:type="dxa" w:w="2015"/>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Access control</w:t>
            </w:r>
          </w:p>
        </w:tc>
        <w:tc>
          <w:tcPr>
            <w:tcW w:type="dxa" w:w="3960"/>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User, UserEmployer, Partner, Session</w:t>
            </w:r>
          </w:p>
        </w:tc>
        <w:tc>
          <w:tcPr>
            <w:tcW w:type="dxa" w:w="388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7"/>
              </w:rPr>
              <w:t>Role, employer scope and optional partner branding</w:t>
            </w:r>
          </w:p>
        </w:tc>
      </w:tr>
    </w:tbl>
    <w:p>
      <w:pPr>
        <w:keepNext w:val="0"/>
        <w:keepLines w:val="0"/>
        <w:spacing w:before="0" w:after="40" w:line="276" w:lineRule="auto"/>
      </w:pPr>
      <w:r>
        <w:rPr>
          <w:rFonts w:ascii="Arial" w:hAnsi="Arial"/>
          <w:b w:val="0"/>
          <w:i w:val="0"/>
          <w:color w:val="17324D"/>
          <w:sz w:val="2"/>
        </w:rPr>
      </w:r>
    </w:p>
    <w:p>
      <w:pPr>
        <w:pStyle w:val="ListBullet"/>
        <w:keepNext w:val="0"/>
        <w:keepLines w:val="0"/>
        <w:spacing w:before="0" w:after="40" w:line="269" w:lineRule="auto"/>
      </w:pPr>
      <w:r>
        <w:rPr>
          <w:rFonts w:ascii="Arial" w:hAnsi="Arial"/>
          <w:color w:val="17324D"/>
          <w:sz w:val="20"/>
        </w:rPr>
        <w:t>CSV, XLSX and API JSON enter through one canonical validation and commit path.</w:t>
      </w:r>
    </w:p>
    <w:p>
      <w:pPr>
        <w:pStyle w:val="ListBullet"/>
        <w:keepNext w:val="0"/>
        <w:keepLines w:val="0"/>
        <w:spacing w:before="0" w:after="40" w:line="269" w:lineRule="auto"/>
      </w:pPr>
      <w:r>
        <w:rPr>
          <w:rFonts w:ascii="Arial" w:hAnsi="Arial"/>
          <w:color w:val="17324D"/>
          <w:sz w:val="20"/>
        </w:rPr>
        <w:t>Current headcount is a convenience cache; after a headcount tombstone it is recalculated from the newest non-retracted snapshot.</w:t>
      </w:r>
    </w:p>
    <w:p>
      <w:pPr>
        <w:pStyle w:val="ListBullet"/>
        <w:keepNext w:val="0"/>
        <w:keepLines w:val="0"/>
        <w:spacing w:before="0" w:after="40" w:line="269" w:lineRule="auto"/>
      </w:pPr>
      <w:r>
        <w:rPr>
          <w:rFonts w:ascii="Arial" w:hAnsi="Arial"/>
          <w:color w:val="17324D"/>
          <w:sz w:val="20"/>
        </w:rPr>
        <w:t>All mutable feeds use source-ordered upserts instead of duplicate skipping.</w:t>
      </w:r>
    </w:p>
    <w:p>
      <w:pPr>
        <w:pStyle w:val="ListBullet"/>
        <w:keepNext w:val="0"/>
        <w:keepLines w:val="0"/>
        <w:spacing w:before="0" w:after="40" w:line="269" w:lineRule="auto"/>
      </w:pPr>
      <w:r>
        <w:rPr>
          <w:rFonts w:ascii="Arial" w:hAnsi="Arial"/>
          <w:color w:val="17324D"/>
          <w:sz w:val="20"/>
        </w:rPr>
        <w:t>Historical site and income state is retained in EmployeeVersion rather than overwritten.</w:t>
      </w:r>
    </w:p>
    <w:p>
      <w:pPr>
        <w:pStyle w:val="ListBullet"/>
        <w:keepNext w:val="0"/>
        <w:keepLines w:val="0"/>
        <w:spacing w:before="0" w:after="40" w:line="269" w:lineRule="auto"/>
      </w:pPr>
      <w:r>
        <w:rPr>
          <w:rFonts w:ascii="Arial" w:hAnsi="Arial"/>
          <w:color w:val="17324D"/>
          <w:sz w:val="20"/>
        </w:rPr>
        <w:t>The journey-to-debt relationship supports one journey to many accounts.</w:t>
      </w:r>
    </w:p>
    <w:p>
      <w:pPr>
        <w:pStyle w:val="Heading1"/>
        <w:keepNext/>
        <w:keepLines w:val="0"/>
        <w:pageBreakBefore/>
        <w:spacing w:before="160" w:after="100" w:line="240" w:lineRule="auto"/>
      </w:pPr>
      <w:r>
        <w:rPr>
          <w:rFonts w:ascii="Arial" w:hAnsi="Arial"/>
          <w:b/>
          <w:color w:val="003A66"/>
          <w:sz w:val="34"/>
        </w:rPr>
        <w:t>19. Migration and historical backfill</w:t>
      </w:r>
    </w:p>
    <w:p>
      <w:pPr>
        <w:pStyle w:val="Heading2"/>
        <w:keepNext/>
        <w:keepLines w:val="0"/>
        <w:pageBreakBefore w:val="0"/>
        <w:spacing w:before="120" w:after="100" w:line="240" w:lineRule="auto"/>
      </w:pPr>
      <w:r>
        <w:rPr>
          <w:rFonts w:ascii="Arial" w:hAnsi="Arial"/>
          <w:b/>
          <w:color w:val="003A66"/>
          <w:sz w:val="26"/>
        </w:rPr>
        <w:t>19.1 Breaking v2 changes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Feed / area</w:t>
            </w:r>
          </w:p>
        </w:tc>
        <w:tc>
          <w:tcPr>
            <w:tcW w:type="dxa" w:w="7272"/>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Required migration</w:t>
            </w:r>
          </w:p>
        </w:tc>
      </w:tr>
      <w:tr>
        <w:trPr>
          <w:cantSplit/>
        </w:trPr>
        <w:tc>
          <w:tcPr>
            <w:tcW w:type="dxa" w:w="25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All feeds</w:t>
            </w:r>
          </w:p>
        </w:tc>
        <w:tc>
          <w:tcPr>
            <w:tcW w:type="dxa" w:w="72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Add required UTC source_updated_at; optionally is_deleted.</w:t>
            </w:r>
          </w:p>
        </w:tc>
      </w:tr>
      <w:tr>
        <w:trPr>
          <w:cantSplit/>
        </w:trPr>
        <w:tc>
          <w:tcPr>
            <w:tcW w:type="dxa" w:w="25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Employers</w:t>
            </w:r>
          </w:p>
        </w:tc>
        <w:tc>
          <w:tcPr>
            <w:tcW w:type="dxa" w:w="72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eligible_count is a current cache; eligible_count_as_at required when count is supplied.</w:t>
            </w:r>
          </w:p>
        </w:tc>
      </w:tr>
      <w:tr>
        <w:trPr>
          <w:cantSplit/>
        </w:trPr>
        <w:tc>
          <w:tcPr>
            <w:tcW w:type="dxa" w:w="25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New workforce_snapshots</w:t>
            </w:r>
          </w:p>
        </w:tc>
        <w:tc>
          <w:tcPr>
            <w:tcW w:type="dxa" w:w="72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Supply employer_ref, as_of_date and eligible_count.</w:t>
            </w:r>
          </w:p>
        </w:tc>
      </w:tr>
      <w:tr>
        <w:trPr>
          <w:cantSplit/>
        </w:trPr>
        <w:tc>
          <w:tcPr>
            <w:tcW w:type="dxa" w:w="25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Employees</w:t>
            </w:r>
          </w:p>
        </w:tc>
        <w:tc>
          <w:tcPr>
            <w:tcW w:type="dxa" w:w="72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Add observed_at, eligible_from and optional inclusive eligible_to; natural key includes observed_at.</w:t>
            </w:r>
          </w:p>
        </w:tc>
      </w:tr>
      <w:tr>
        <w:trPr>
          <w:cantSplit/>
        </w:trPr>
        <w:tc>
          <w:tcPr>
            <w:tcW w:type="dxa" w:w="25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Debt accounts</w:t>
            </w:r>
          </w:p>
        </w:tc>
        <w:tc>
          <w:tcPr>
            <w:tcW w:type="dxa" w:w="72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Add observed_at and optional closed_at; natural key includes observed_at.</w:t>
            </w:r>
          </w:p>
        </w:tc>
      </w:tr>
      <w:tr>
        <w:trPr>
          <w:cantSplit/>
        </w:trPr>
        <w:tc>
          <w:tcPr>
            <w:tcW w:type="dxa" w:w="25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Policies</w:t>
            </w:r>
          </w:p>
        </w:tc>
        <w:tc>
          <w:tcPr>
            <w:tcW w:type="dxa" w:w="72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Add observed_at, effective dates and resolved_at; natural key includes observed_at.</w:t>
            </w:r>
          </w:p>
        </w:tc>
      </w:tr>
      <w:tr>
        <w:trPr>
          <w:cantSplit/>
        </w:trPr>
        <w:tc>
          <w:tcPr>
            <w:tcW w:type="dxa" w:w="25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Chat sessions</w:t>
            </w:r>
          </w:p>
        </w:tc>
        <w:tc>
          <w:tcPr>
            <w:tcW w:type="dxa" w:w="72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Add tokenised payroll_ref.</w:t>
            </w:r>
          </w:p>
        </w:tc>
      </w:tr>
      <w:tr>
        <w:trPr>
          <w:cantSplit/>
        </w:trPr>
        <w:tc>
          <w:tcPr>
            <w:tcW w:type="dxa" w:w="25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Referrals</w:t>
            </w:r>
          </w:p>
        </w:tc>
        <w:tc>
          <w:tcPr>
            <w:tcW w:type="dxa" w:w="72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Add converted_at when converted=true.</w:t>
            </w:r>
          </w:p>
        </w:tc>
      </w:tr>
      <w:tr>
        <w:trPr>
          <w:cantSplit/>
        </w:trPr>
        <w:tc>
          <w:tcPr>
            <w:tcW w:type="dxa" w:w="259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Salary advances</w:t>
            </w:r>
          </w:p>
        </w:tc>
        <w:tc>
          <w:tcPr>
            <w:tcW w:type="dxa" w:w="7272"/>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Add payroll_ref; make advanced_at and status required; use exact enums.</w:t>
            </w:r>
          </w:p>
        </w:tc>
      </w:tr>
      <w:tr>
        <w:trPr>
          <w:cantSplit/>
        </w:trPr>
        <w:tc>
          <w:tcPr>
            <w:tcW w:type="dxa" w:w="259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API query</w:t>
            </w:r>
          </w:p>
        </w:tc>
        <w:tc>
          <w:tcPr>
            <w:tcW w:type="dxa" w:w="7272"/>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Support timestamp since and through boundaries, not only a date cursor.</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19.2 Minimum backfill standard</w:t>
      </w:r>
    </w:p>
    <w:p>
      <w:pPr>
        <w:pStyle w:val="ListBullet"/>
        <w:keepNext w:val="0"/>
        <w:keepLines w:val="0"/>
        <w:spacing w:before="0" w:after="40" w:line="269" w:lineRule="auto"/>
      </w:pPr>
      <w:r>
        <w:rPr>
          <w:rFonts w:ascii="Arial" w:hAnsi="Arial"/>
          <w:color w:val="17324D"/>
          <w:sz w:val="20"/>
        </w:rPr>
        <w:t>At least one headcount snapshot per employer/month visible in the month picker.</w:t>
      </w:r>
    </w:p>
    <w:p>
      <w:pPr>
        <w:pStyle w:val="ListBullet"/>
        <w:keepNext w:val="0"/>
        <w:keepLines w:val="0"/>
        <w:spacing w:before="0" w:after="40" w:line="269" w:lineRule="auto"/>
      </w:pPr>
      <w:r>
        <w:rPr>
          <w:rFonts w:ascii="Arial" w:hAnsi="Arial"/>
          <w:color w:val="17324D"/>
          <w:sz w:val="20"/>
        </w:rPr>
        <w:t>Employee observations for each historical site, income and eligibility period to be filtered.</w:t>
      </w:r>
    </w:p>
    <w:p>
      <w:pPr>
        <w:pStyle w:val="ListBullet"/>
        <w:keepNext w:val="0"/>
        <w:keepLines w:val="0"/>
        <w:spacing w:before="0" w:after="40" w:line="269" w:lineRule="auto"/>
      </w:pPr>
      <w:r>
        <w:rPr>
          <w:rFonts w:ascii="Arial" w:hAnsi="Arial"/>
          <w:color w:val="17324D"/>
          <w:sz w:val="20"/>
        </w:rPr>
        <w:t>Monthly or change-driven debt and policy observations sufficient to represent month-end state.</w:t>
      </w:r>
    </w:p>
    <w:p>
      <w:pPr>
        <w:pStyle w:val="ListBullet"/>
        <w:keepNext w:val="0"/>
        <w:keepLines w:val="0"/>
        <w:spacing w:before="0" w:after="40" w:line="269" w:lineRule="auto"/>
      </w:pPr>
      <w:r>
        <w:rPr>
          <w:rFonts w:ascii="Arial" w:hAnsi="Arial"/>
          <w:color w:val="17324D"/>
          <w:sz w:val="20"/>
        </w:rPr>
        <w:t>All business event dates on enrolment, journeys, ratings, chat, referrals and EWA.</w:t>
      </w:r>
    </w:p>
    <w:p>
      <w:pPr>
        <w:pStyle w:val="ListBullet"/>
        <w:keepNext w:val="0"/>
        <w:keepLines w:val="0"/>
        <w:spacing w:before="0" w:after="40" w:line="269" w:lineRule="auto"/>
      </w:pPr>
      <w:r>
        <w:rPr>
          <w:rFonts w:ascii="Arial" w:hAnsi="Arial"/>
          <w:color w:val="17324D"/>
          <w:sz w:val="20"/>
        </w:rPr>
        <w:t>Stable employer_ref and tokenised payroll_ref joins across every dependent feed.</w:t>
      </w:r>
    </w:p>
    <w:p>
      <w:pPr>
        <w:pStyle w:val="Heading2"/>
        <w:keepNext/>
        <w:keepLines w:val="0"/>
        <w:pageBreakBefore w:val="0"/>
        <w:spacing w:before="120" w:after="100" w:line="240" w:lineRule="auto"/>
      </w:pPr>
      <w:r>
        <w:rPr>
          <w:rFonts w:ascii="Arial" w:hAnsi="Arial"/>
          <w:b/>
          <w:color w:val="003A66"/>
          <w:sz w:val="26"/>
        </w:rPr>
        <w:t>19.3 Rollout sequence</w:t>
      </w:r>
    </w:p>
    <w:p>
      <w:pPr>
        <w:pStyle w:val="ListNumber"/>
        <w:keepNext w:val="0"/>
        <w:keepLines w:val="0"/>
        <w:spacing w:before="0" w:after="40" w:line="269" w:lineRule="auto"/>
      </w:pPr>
      <w:r>
        <w:rPr>
          <w:rFonts w:ascii="Arial" w:hAnsi="Arial"/>
          <w:color w:val="17324D"/>
          <w:sz w:val="20"/>
        </w:rPr>
        <w:t>Back up the production database and retain the original v1 source files.</w:t>
      </w:r>
    </w:p>
    <w:p>
      <w:pPr>
        <w:pStyle w:val="ListNumber"/>
        <w:keepNext w:val="0"/>
        <w:keepLines w:val="0"/>
        <w:spacing w:before="0" w:after="40" w:line="269" w:lineRule="auto"/>
      </w:pPr>
      <w:r>
        <w:rPr>
          <w:rFonts w:ascii="Arial" w:hAnsi="Arial"/>
          <w:color w:val="17324D"/>
          <w:sz w:val="20"/>
        </w:rPr>
        <w:t>Apply the v2 Prisma schema in a non-production PostgreSQL environment.</w:t>
      </w:r>
    </w:p>
    <w:p>
      <w:pPr>
        <w:pStyle w:val="ListNumber"/>
        <w:keepNext w:val="0"/>
        <w:keepLines w:val="0"/>
        <w:spacing w:before="0" w:after="40" w:line="269" w:lineRule="auto"/>
      </w:pPr>
      <w:r>
        <w:rPr>
          <w:rFonts w:ascii="Arial" w:hAnsi="Arial"/>
          <w:color w:val="17324D"/>
          <w:sz w:val="20"/>
        </w:rPr>
        <w:t>Load employers, workforce headcount snapshots and dated employees oldest to newest.</w:t>
      </w:r>
    </w:p>
    <w:p>
      <w:pPr>
        <w:pStyle w:val="ListNumber"/>
        <w:keepNext w:val="0"/>
        <w:keepLines w:val="0"/>
        <w:spacing w:before="0" w:after="40" w:line="269" w:lineRule="auto"/>
      </w:pPr>
      <w:r>
        <w:rPr>
          <w:rFonts w:ascii="Arial" w:hAnsi="Arial"/>
          <w:color w:val="17324D"/>
          <w:sz w:val="20"/>
        </w:rPr>
        <w:t>Load enrolment, journeys, debt observations and policy observations.</w:t>
      </w:r>
    </w:p>
    <w:p>
      <w:pPr>
        <w:pStyle w:val="ListNumber"/>
        <w:keepNext w:val="0"/>
        <w:keepLines w:val="0"/>
        <w:spacing w:before="0" w:after="40" w:line="269" w:lineRule="auto"/>
      </w:pPr>
      <w:r>
        <w:rPr>
          <w:rFonts w:ascii="Arial" w:hAnsi="Arial"/>
          <w:color w:val="17324D"/>
          <w:sz w:val="20"/>
        </w:rPr>
        <w:t>Load ratings, chat, referrals and salary advances.</w:t>
      </w:r>
    </w:p>
    <w:p>
      <w:pPr>
        <w:pStyle w:val="ListNumber"/>
        <w:keepNext w:val="0"/>
        <w:keepLines w:val="0"/>
        <w:spacing w:before="0" w:after="40" w:line="269" w:lineRule="auto"/>
      </w:pPr>
      <w:r>
        <w:rPr>
          <w:rFonts w:ascii="Arial" w:hAnsi="Arial"/>
          <w:color w:val="17324D"/>
          <w:sz w:val="20"/>
        </w:rPr>
        <w:t>Rebuild closed monthly snapshots and the current month-to-date snapshot.</w:t>
      </w:r>
    </w:p>
    <w:p>
      <w:pPr>
        <w:pStyle w:val="ListNumber"/>
        <w:keepNext w:val="0"/>
        <w:keepLines w:val="0"/>
        <w:spacing w:before="0" w:after="40" w:line="269" w:lineRule="auto"/>
      </w:pPr>
      <w:r>
        <w:rPr>
          <w:rFonts w:ascii="Arial" w:hAnsi="Arial"/>
          <w:color w:val="17324D"/>
          <w:sz w:val="20"/>
        </w:rPr>
        <w:t>Reconcile source totals, imported counts, employer dashboards, exports and portfolio rows.</w:t>
      </w:r>
    </w:p>
    <w:p>
      <w:pPr>
        <w:pStyle w:val="ListNumber"/>
        <w:keepNext w:val="0"/>
        <w:keepLines w:val="0"/>
        <w:spacing w:before="0" w:after="40" w:line="269" w:lineRule="auto"/>
      </w:pPr>
      <w:r>
        <w:rPr>
          <w:rFonts w:ascii="Arial" w:hAnsi="Arial"/>
          <w:color w:val="17324D"/>
          <w:sz w:val="20"/>
        </w:rPr>
        <w:t>Promote only after the acceptance gate below passes.</w:t>
      </w:r>
    </w:p>
    <w:p>
      <w:pPr>
        <w:pStyle w:val="Heading1"/>
        <w:keepNext/>
        <w:keepLines w:val="0"/>
        <w:pageBreakBefore/>
        <w:spacing w:before="160" w:after="100" w:line="240" w:lineRule="auto"/>
      </w:pPr>
      <w:r>
        <w:rPr>
          <w:rFonts w:ascii="Arial" w:hAnsi="Arial"/>
          <w:b/>
          <w:color w:val="003A66"/>
          <w:sz w:val="34"/>
        </w:rPr>
        <w:t>20. Validation and go-live acceptance</w:t>
      </w:r>
    </w:p>
    <w:p>
      <w:pPr>
        <w:pStyle w:val="Heading2"/>
        <w:keepNext/>
        <w:keepLines w:val="0"/>
        <w:pageBreakBefore w:val="0"/>
        <w:spacing w:before="120" w:after="100" w:line="240" w:lineRule="auto"/>
      </w:pPr>
      <w:r>
        <w:rPr>
          <w:rFonts w:ascii="Arial" w:hAnsi="Arial"/>
          <w:b/>
          <w:color w:val="003A66"/>
          <w:sz w:val="26"/>
        </w:rPr>
        <w:t>20.1 Source-side validation rules</w:t>
      </w:r>
    </w:p>
    <w:p>
      <w:pPr>
        <w:pStyle w:val="ListNumber"/>
        <w:keepNext w:val="0"/>
        <w:keepLines w:val="0"/>
        <w:spacing w:before="0" w:after="40" w:line="269" w:lineRule="auto"/>
      </w:pPr>
      <w:r>
        <w:rPr>
          <w:rFonts w:ascii="Arial" w:hAnsi="Arial"/>
          <w:color w:val="17324D"/>
          <w:sz w:val="20"/>
        </w:rPr>
        <w:t>Natural keys are stable and unique within a response.</w:t>
      </w:r>
    </w:p>
    <w:p>
      <w:pPr>
        <w:pStyle w:val="ListNumber"/>
        <w:keepNext w:val="0"/>
        <w:keepLines w:val="0"/>
        <w:spacing w:before="0" w:after="40" w:line="269" w:lineRule="auto"/>
      </w:pPr>
      <w:r>
        <w:rPr>
          <w:rFonts w:ascii="Arial" w:hAnsi="Arial"/>
          <w:color w:val="17324D"/>
          <w:sz w:val="20"/>
        </w:rPr>
        <w:t>Older source_updated_at versions are stale and ignored.</w:t>
      </w:r>
    </w:p>
    <w:p>
      <w:pPr>
        <w:pStyle w:val="ListNumber"/>
        <w:keepNext w:val="0"/>
        <w:keepLines w:val="0"/>
        <w:spacing w:before="0" w:after="40" w:line="269" w:lineRule="auto"/>
      </w:pPr>
      <w:r>
        <w:rPr>
          <w:rFonts w:ascii="Arial" w:hAnsi="Arial"/>
          <w:color w:val="17324D"/>
          <w:sz w:val="20"/>
        </w:rPr>
        <w:t>Dates are real YYYY-MM-DD calendar dates; timestamps include Z or an explicit offset.</w:t>
      </w:r>
    </w:p>
    <w:p>
      <w:pPr>
        <w:pStyle w:val="ListNumber"/>
        <w:keepNext w:val="0"/>
        <w:keepLines w:val="0"/>
        <w:spacing w:before="0" w:after="40" w:line="269" w:lineRule="auto"/>
      </w:pPr>
      <w:r>
        <w:rPr>
          <w:rFonts w:ascii="Arial" w:hAnsi="Arial"/>
          <w:color w:val="17324D"/>
          <w:sz w:val="20"/>
        </w:rPr>
        <w:t>Required fields remain required on tombstone records in v2.</w:t>
      </w:r>
    </w:p>
    <w:p>
      <w:pPr>
        <w:pStyle w:val="ListNumber"/>
        <w:keepNext w:val="0"/>
        <w:keepLines w:val="0"/>
        <w:spacing w:before="0" w:after="40" w:line="269" w:lineRule="auto"/>
      </w:pPr>
      <w:r>
        <w:rPr>
          <w:rFonts w:ascii="Arial" w:hAnsi="Arial"/>
          <w:color w:val="17324D"/>
          <w:sz w:val="20"/>
        </w:rPr>
        <w:t>COMPLETED journeys require completed_at.</w:t>
      </w:r>
    </w:p>
    <w:p>
      <w:pPr>
        <w:pStyle w:val="ListNumber"/>
        <w:keepNext w:val="0"/>
        <w:keepLines w:val="0"/>
        <w:spacing w:before="0" w:after="40" w:line="269" w:lineRule="auto"/>
      </w:pPr>
      <w:r>
        <w:rPr>
          <w:rFonts w:ascii="Arial" w:hAnsi="Arial"/>
          <w:color w:val="17324D"/>
          <w:sz w:val="20"/>
        </w:rPr>
        <w:t>Inactive employees require eligible_to; eligible_to is inclusive.</w:t>
      </w:r>
    </w:p>
    <w:p>
      <w:pPr>
        <w:pStyle w:val="ListNumber"/>
        <w:keepNext w:val="0"/>
        <w:keepLines w:val="0"/>
        <w:spacing w:before="0" w:after="40" w:line="269" w:lineRule="auto"/>
      </w:pPr>
      <w:r>
        <w:rPr>
          <w:rFonts w:ascii="Arial" w:hAnsi="Arial"/>
          <w:color w:val="17324D"/>
          <w:sz w:val="20"/>
        </w:rPr>
        <w:t>Resolved policies require resolved_at.</w:t>
      </w:r>
    </w:p>
    <w:p>
      <w:pPr>
        <w:pStyle w:val="ListNumber"/>
        <w:keepNext w:val="0"/>
        <w:keepLines w:val="0"/>
        <w:spacing w:before="0" w:after="40" w:line="269" w:lineRule="auto"/>
      </w:pPr>
      <w:r>
        <w:rPr>
          <w:rFonts w:ascii="Arial" w:hAnsi="Arial"/>
          <w:color w:val="17324D"/>
          <w:sz w:val="20"/>
        </w:rPr>
        <w:t>Converted referrals require converted_at.</w:t>
      </w:r>
    </w:p>
    <w:p>
      <w:pPr>
        <w:pStyle w:val="ListNumber"/>
        <w:keepNext w:val="0"/>
        <w:keepLines w:val="0"/>
        <w:spacing w:before="0" w:after="40" w:line="269" w:lineRule="auto"/>
      </w:pPr>
      <w:r>
        <w:rPr>
          <w:rFonts w:ascii="Arial" w:hAnsi="Arial"/>
          <w:color w:val="17324D"/>
          <w:sz w:val="20"/>
        </w:rPr>
        <w:t>Rating/chat satisfaction is 1–5; sentiment is -1.0–1.0; money cannot be negative.</w:t>
      </w:r>
    </w:p>
    <w:p>
      <w:pPr>
        <w:pStyle w:val="ListNumber"/>
        <w:keepNext w:val="0"/>
        <w:keepLines w:val="0"/>
        <w:spacing w:before="0" w:after="40" w:line="269" w:lineRule="auto"/>
      </w:pPr>
      <w:r>
        <w:rPr>
          <w:rFonts w:ascii="Arial" w:hAnsi="Arial"/>
          <w:color w:val="17324D"/>
          <w:sz w:val="20"/>
        </w:rPr>
        <w:t>Source labels are mapped to the exact contract enums before response.</w:t>
      </w:r>
    </w:p>
    <w:p>
      <w:pPr>
        <w:pStyle w:val="Heading2"/>
        <w:keepNext/>
        <w:keepLines w:val="0"/>
        <w:pageBreakBefore w:val="0"/>
        <w:spacing w:before="120" w:after="100" w:line="240" w:lineRule="auto"/>
      </w:pPr>
      <w:r>
        <w:rPr>
          <w:rFonts w:ascii="Arial" w:hAnsi="Arial"/>
          <w:b/>
          <w:color w:val="003A66"/>
          <w:sz w:val="26"/>
        </w:rPr>
        <w:t>20.2 Package validation completed</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328"/>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Check</w:t>
            </w:r>
          </w:p>
        </w:tc>
        <w:tc>
          <w:tcPr>
            <w:tcW w:type="dxa" w:w="4536"/>
            <w:shd w:fill="003A66"/>
            <w:tcMar>
              <w:top w:w="100" w:type="dxa"/>
              <w:start w:w="100" w:type="dxa"/>
              <w:bottom w:w="100"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i w:val="0"/>
                <w:color w:val="FFFFFF"/>
                <w:sz w:val="18"/>
              </w:rPr>
              <w:t>Result</w:t>
            </w:r>
          </w:p>
        </w:tc>
      </w:tr>
      <w:tr>
        <w:trPr>
          <w:cantSplit/>
        </w:trPr>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Strict TypeScript semantic check</w:t>
            </w:r>
          </w:p>
        </w:tc>
        <w:tc>
          <w:tcPr>
            <w:tcW w:type="dxa" w:w="453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Pass</w:t>
            </w:r>
          </w:p>
        </w:tc>
      </w:tr>
      <w:tr>
        <w:trPr>
          <w:cantSplit/>
        </w:trPr>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TypeScript transpile check</w:t>
            </w:r>
          </w:p>
        </w:tc>
        <w:tc>
          <w:tcPr>
            <w:tcW w:type="dxa" w:w="453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Pass — 12 files</w:t>
            </w:r>
          </w:p>
        </w:tc>
      </w:tr>
      <w:tr>
        <w:trPr>
          <w:cantSplit/>
        </w:trPr>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Dashboard JavaScript syntax</w:t>
            </w:r>
          </w:p>
        </w:tc>
        <w:tc>
          <w:tcPr>
            <w:tcW w:type="dxa" w:w="453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Pass</w:t>
            </w:r>
          </w:p>
        </w:tc>
      </w:tr>
      <w:tr>
        <w:trPr>
          <w:cantSplit/>
        </w:trPr>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Prisma structural audit</w:t>
            </w:r>
          </w:p>
        </w:tc>
        <w:tc>
          <w:tcPr>
            <w:tcW w:type="dxa" w:w="453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Pass — 27 models, 11 enums, 335 fields</w:t>
            </w:r>
          </w:p>
        </w:tc>
      </w:tr>
      <w:tr>
        <w:trPr>
          <w:cantSplit/>
        </w:trPr>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Contract and sample feeds</w:t>
            </w:r>
          </w:p>
        </w:tc>
        <w:tc>
          <w:tcPr>
            <w:tcW w:type="dxa" w:w="453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Pass — 11 reports, 11 CSV samples</w:t>
            </w:r>
          </w:p>
        </w:tc>
      </w:tr>
      <w:tr>
        <w:trPr>
          <w:cantSplit/>
        </w:trPr>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Route registration order</w:t>
            </w:r>
          </w:p>
        </w:tc>
        <w:tc>
          <w:tcPr>
            <w:tcW w:type="dxa" w:w="453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Pass</w:t>
            </w:r>
          </w:p>
        </w:tc>
      </w:tr>
      <w:tr>
        <w:trPr>
          <w:cantSplit/>
        </w:trPr>
        <w:tc>
          <w:tcPr>
            <w:tcW w:type="dxa" w:w="5328"/>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Automatic --accept-data-loss</w:t>
            </w:r>
          </w:p>
        </w:tc>
        <w:tc>
          <w:tcPr>
            <w:tcW w:type="dxa" w:w="4536"/>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Not present</w:t>
            </w:r>
          </w:p>
        </w:tc>
      </w:tr>
      <w:tr>
        <w:trPr>
          <w:cantSplit/>
        </w:trPr>
        <w:tc>
          <w:tcPr>
            <w:tcW w:type="dxa" w:w="5328"/>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Silent live-to-demo merge</w:t>
            </w:r>
          </w:p>
        </w:tc>
        <w:tc>
          <w:tcPr>
            <w:tcW w:type="dxa" w:w="4536"/>
            <w:shd w:fill="F4F9FC"/>
            <w:tcMar>
              <w:top w:w="92" w:type="dxa"/>
              <w:start w:w="100" w:type="dxa"/>
              <w:bottom w:w="92" w:type="dxa"/>
              <w:end w:w="100" w:type="dxa"/>
            </w:tcMar>
            <w:vAlign w:val="center"/>
            <w:tcBorders>
              <w:top w:val="single" w:sz="5" w:color="D9E5ED"/>
              <w:bottom w:val="single" w:sz="5" w:color="D9E5ED"/>
              <w:start w:val="single" w:sz="5" w:color="D9E5ED"/>
              <w:end w:val="single" w:sz="5" w:color="D9E5ED"/>
            </w:tcBorders>
          </w:tcPr>
          <w:p>
            <w:pPr>
              <w:keepNext w:val="0"/>
              <w:keepLines w:val="0"/>
              <w:spacing w:before="0" w:after="0" w:line="252" w:lineRule="auto"/>
              <w:jc w:val="left"/>
            </w:pPr>
            <w:r/>
            <w:r>
              <w:rPr>
                <w:rFonts w:ascii="Arial" w:hAnsi="Arial"/>
                <w:b w:val="0"/>
                <w:i w:val="0"/>
                <w:color w:val="17324D"/>
                <w:sz w:val="18"/>
              </w:rPr>
              <w:t>Removed; demo is explicit with ?demo=1</w:t>
            </w:r>
          </w:p>
        </w:tc>
      </w:tr>
    </w:tbl>
    <w:p>
      <w:pPr>
        <w:keepNext w:val="0"/>
        <w:keepLines w:val="0"/>
        <w:spacing w:before="0" w:after="40" w:line="276" w:lineRule="auto"/>
      </w:pPr>
      <w:r>
        <w:rPr>
          <w:rFonts w:ascii="Arial" w:hAnsi="Arial"/>
          <w:b w:val="0"/>
          <w:i w:val="0"/>
          <w:color w:val="17324D"/>
          <w:sz w:val="2"/>
        </w:rPr>
      </w:r>
    </w:p>
    <w:tbl>
      <w:tblPr>
        <w:tblW w:type="auto" w:w="0"/>
        <w:jc w:val="center"/>
        <w:tblLayout w:type="fixed"/>
        <w:tblLook w:firstColumn="1" w:firstRow="1" w:lastColumn="0" w:lastRow="0" w:noHBand="0" w:noVBand="1" w:val="04A0"/>
      </w:tblPr>
      <w:tblGrid>
        <w:gridCol w:w="10080"/>
      </w:tblGrid>
      <w:tr>
        <w:tc>
          <w:tcPr>
            <w:tcW w:type="dxa" w:w="9864"/>
            <w:shd w:fill="FFF5DF"/>
            <w:tcMar>
              <w:top w:w="150" w:type="dxa"/>
              <w:start w:w="190" w:type="dxa"/>
              <w:bottom w:w="150" w:type="dxa"/>
              <w:end w:w="190" w:type="dxa"/>
            </w:tcMar>
            <w:tcBorders>
              <w:top w:val="single" w:sz="3" w:color="FFF5DF"/>
              <w:bottom w:val="single" w:sz="3" w:color="FFF5DF"/>
              <w:start w:val="single" w:sz="22" w:color="A56300"/>
              <w:end w:val="single" w:sz="3" w:color="FFF5DF"/>
            </w:tcBorders>
          </w:tcPr>
          <w:p>
            <w:pPr>
              <w:keepNext/>
              <w:keepLines w:val="0"/>
              <w:spacing w:before="0" w:after="80" w:line="240" w:lineRule="auto"/>
            </w:pPr>
            <w:r>
              <w:rPr>
                <w:rFonts w:ascii="Arial" w:hAnsi="Arial"/>
                <w:b/>
                <w:color w:val="A56300"/>
                <w:sz w:val="22"/>
              </w:rPr>
              <w:t>Build-environment limitation</w:t>
            </w:r>
          </w:p>
          <w:p>
            <w:pPr>
              <w:keepNext w:val="0"/>
              <w:keepLines w:val="0"/>
              <w:spacing w:before="0" w:after="0" w:line="274" w:lineRule="auto"/>
            </w:pPr>
            <w:r>
              <w:rPr>
                <w:rFonts w:ascii="Arial" w:hAnsi="Arial"/>
                <w:color w:val="17324D"/>
                <w:sz w:val="20"/>
              </w:rPr>
              <w:t>The review container could not reach the npm registry and did not contain the project dependency cache. The delivered package passed strict checking with local declarations, but staging must still run npm install, Prisma client generation, the real TypeScript build and the contract test before deployment.</w:t>
            </w:r>
          </w:p>
        </w:tc>
      </w:tr>
    </w:tbl>
    <w:p>
      <w:pPr>
        <w:keepNext w:val="0"/>
        <w:keepLines w:val="0"/>
        <w:spacing w:before="0" w:after="6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20.3 Required staging commands</w:t>
      </w:r>
    </w:p>
    <w:tbl>
      <w:tblPr>
        <w:tblW w:type="auto" w:w="0"/>
        <w:jc w:val="center"/>
        <w:tblLayout w:type="fixed"/>
        <w:tblLook w:firstColumn="1" w:firstRow="1" w:lastColumn="0" w:lastRow="0" w:noHBand="0" w:noVBand="1" w:val="04A0"/>
      </w:tblPr>
      <w:tblGrid>
        <w:gridCol w:w="10080"/>
      </w:tblGrid>
      <w:tr>
        <w:trPr>
          <w:cantSplit/>
        </w:trPr>
        <w:tc>
          <w:tcPr>
            <w:tcW w:type="dxa" w:w="9864"/>
            <w:shd w:fill="F1F4F6"/>
            <w:tcMar>
              <w:top w:w="120" w:type="dxa"/>
              <w:start w:w="140" w:type="dxa"/>
              <w:bottom w:w="120" w:type="dxa"/>
              <w:end w:w="140" w:type="dxa"/>
            </w:tcMar>
            <w:tcBorders>
              <w:top w:val="single" w:sz="4" w:color="B9CBD8"/>
              <w:bottom w:val="single" w:sz="4" w:color="B9CBD8"/>
              <w:start w:val="single" w:sz="4" w:color="B9CBD8"/>
              <w:end w:val="single" w:sz="4" w:color="B9CBD8"/>
            </w:tcBorders>
          </w:tcPr>
          <w:p>
            <w:pPr>
              <w:keepNext w:val="0"/>
              <w:keepLines/>
              <w:spacing w:before="0" w:after="0" w:line="240" w:lineRule="auto"/>
            </w:pPr>
            <w:r/>
            <w:r>
              <w:rPr>
                <w:rFonts w:ascii="Courier New" w:hAnsi="Courier New"/>
                <w:color w:val="17324D"/>
                <w:sz w:val="16"/>
              </w:rPr>
              <w:t>npm install</w:t>
              <w:br/>
            </w:r>
            <w:r>
              <w:rPr>
                <w:rFonts w:ascii="Courier New" w:hAnsi="Courier New"/>
                <w:color w:val="17324D"/>
                <w:sz w:val="16"/>
              </w:rPr>
              <w:t>npm run build</w:t>
              <w:br/>
            </w:r>
            <w:r>
              <w:rPr>
                <w:rFonts w:ascii="Courier New" w:hAnsi="Courier New"/>
                <w:color w:val="17324D"/>
                <w:sz w:val="16"/>
              </w:rPr>
              <w:t>npm run check:contract</w:t>
            </w:r>
          </w:p>
        </w:tc>
      </w:tr>
    </w:tbl>
    <w:p>
      <w:pPr>
        <w:keepNext w:val="0"/>
        <w:keepLines w:val="0"/>
        <w:spacing w:before="0" w:after="40" w:line="276" w:lineRule="auto"/>
      </w:pPr>
      <w:r>
        <w:rPr>
          <w:rFonts w:ascii="Arial" w:hAnsi="Arial"/>
          <w:b w:val="0"/>
          <w:i w:val="0"/>
          <w:color w:val="17324D"/>
          <w:sz w:val="2"/>
        </w:rPr>
      </w:r>
    </w:p>
    <w:p>
      <w:pPr>
        <w:pStyle w:val="Heading2"/>
        <w:keepNext/>
        <w:keepLines w:val="0"/>
        <w:pageBreakBefore w:val="0"/>
        <w:spacing w:before="120" w:after="100" w:line="240" w:lineRule="auto"/>
      </w:pPr>
      <w:r>
        <w:rPr>
          <w:rFonts w:ascii="Arial" w:hAnsi="Arial"/>
          <w:b/>
          <w:color w:val="003A66"/>
          <w:sz w:val="26"/>
        </w:rPr>
        <w:t>20.4 Reconciliation acceptance tests</w:t>
      </w:r>
    </w:p>
    <w:p>
      <w:pPr>
        <w:pStyle w:val="ListNumber"/>
        <w:keepNext w:val="0"/>
        <w:keepLines w:val="0"/>
        <w:spacing w:before="0" w:after="40" w:line="269" w:lineRule="auto"/>
      </w:pPr>
      <w:r>
        <w:rPr>
          <w:rFonts w:ascii="Arial" w:hAnsi="Arial"/>
          <w:color w:val="17324D"/>
          <w:sz w:val="20"/>
        </w:rPr>
        <w:t>Headcount denominator for at least three closed months and the current month-to-date view.</w:t>
      </w:r>
    </w:p>
    <w:p>
      <w:pPr>
        <w:pStyle w:val="ListNumber"/>
        <w:keepNext w:val="0"/>
        <w:keepLines w:val="0"/>
        <w:spacing w:before="0" w:after="40" w:line="269" w:lineRule="auto"/>
      </w:pPr>
      <w:r>
        <w:rPr>
          <w:rFonts w:ascii="Arial" w:hAnsi="Arial"/>
          <w:color w:val="17324D"/>
          <w:sz w:val="20"/>
        </w:rPr>
        <w:t>Enrolled, activated and completed-fix counts.</w:t>
      </w:r>
    </w:p>
    <w:p>
      <w:pPr>
        <w:pStyle w:val="ListNumber"/>
        <w:keepNext w:val="0"/>
        <w:keepLines w:val="0"/>
        <w:spacing w:before="0" w:after="40" w:line="269" w:lineRule="auto"/>
      </w:pPr>
      <w:r>
        <w:rPr>
          <w:rFonts w:ascii="Arial" w:hAnsi="Arial"/>
          <w:color w:val="17324D"/>
          <w:sz w:val="20"/>
        </w:rPr>
        <w:t>Completed outcomes, recurring savings and selected-window new savings.</w:t>
      </w:r>
    </w:p>
    <w:p>
      <w:pPr>
        <w:pStyle w:val="ListNumber"/>
        <w:keepNext w:val="0"/>
        <w:keepLines w:val="0"/>
        <w:spacing w:before="0" w:after="40" w:line="269" w:lineRule="auto"/>
      </w:pPr>
      <w:r>
        <w:rPr>
          <w:rFonts w:ascii="Arial" w:hAnsi="Arial"/>
          <w:color w:val="17324D"/>
          <w:sz w:val="20"/>
        </w:rPr>
        <w:t>Arrears users, balances, debt states and top creditors.</w:t>
      </w:r>
    </w:p>
    <w:p>
      <w:pPr>
        <w:pStyle w:val="ListNumber"/>
        <w:keepNext w:val="0"/>
        <w:keepLines w:val="0"/>
        <w:spacing w:before="0" w:after="40" w:line="269" w:lineRule="auto"/>
      </w:pPr>
      <w:r>
        <w:rPr>
          <w:rFonts w:ascii="Arial" w:hAnsi="Arial"/>
          <w:color w:val="17324D"/>
          <w:sz w:val="20"/>
        </w:rPr>
        <w:t>Wasteful and resolved policy counts and opportunity values.</w:t>
      </w:r>
    </w:p>
    <w:p>
      <w:pPr>
        <w:pStyle w:val="ListNumber"/>
        <w:keepNext w:val="0"/>
        <w:keepLines w:val="0"/>
        <w:spacing w:before="0" w:after="40" w:line="269" w:lineRule="auto"/>
      </w:pPr>
      <w:r>
        <w:rPr>
          <w:rFonts w:ascii="Arial" w:hAnsi="Arial"/>
          <w:color w:val="17324D"/>
          <w:sz w:val="20"/>
        </w:rPr>
        <w:t>Rating/NPS, chat, referrals and finalised EWA totals in each window.</w:t>
      </w:r>
    </w:p>
    <w:p>
      <w:pPr>
        <w:pStyle w:val="ListNumber"/>
        <w:keepNext w:val="0"/>
        <w:keepLines w:val="0"/>
        <w:spacing w:before="0" w:after="40" w:line="269" w:lineRule="auto"/>
      </w:pPr>
      <w:r>
        <w:rPr>
          <w:rFonts w:ascii="Arial" w:hAnsi="Arial"/>
          <w:color w:val="17324D"/>
          <w:sz w:val="20"/>
        </w:rPr>
        <w:t>Site and income cohort totals from dated employee observations.</w:t>
      </w:r>
    </w:p>
    <w:p>
      <w:pPr>
        <w:pStyle w:val="ListNumber"/>
        <w:keepNext w:val="0"/>
        <w:keepLines w:val="0"/>
        <w:spacing w:before="0" w:after="40" w:line="269" w:lineRule="auto"/>
      </w:pPr>
      <w:r>
        <w:rPr>
          <w:rFonts w:ascii="Arial" w:hAnsi="Arial"/>
          <w:color w:val="17324D"/>
          <w:sz w:val="20"/>
        </w:rPr>
        <w:t>Employer dashboard metrics versus the matching portfolio row.</w:t>
      </w:r>
    </w:p>
    <w:p>
      <w:pPr>
        <w:pStyle w:val="ListNumber"/>
        <w:keepNext w:val="0"/>
        <w:keepLines w:val="0"/>
        <w:spacing w:before="0" w:after="40" w:line="269" w:lineRule="auto"/>
      </w:pPr>
      <w:r>
        <w:rPr>
          <w:rFonts w:ascii="Arial" w:hAnsi="Arial"/>
          <w:color w:val="17324D"/>
          <w:sz w:val="20"/>
        </w:rPr>
        <w:t>Repeated identical sync produces zero material changes.</w:t>
      </w:r>
    </w:p>
    <w:p>
      <w:pPr>
        <w:pStyle w:val="ListNumber"/>
        <w:keepNext w:val="0"/>
        <w:keepLines w:val="0"/>
        <w:spacing w:before="0" w:after="40" w:line="269" w:lineRule="auto"/>
      </w:pPr>
      <w:r>
        <w:rPr>
          <w:rFonts w:ascii="Arial" w:hAnsi="Arial"/>
          <w:color w:val="17324D"/>
          <w:sz w:val="20"/>
        </w:rPr>
        <w:t>A failed report does not advance its cursor; a later successful retry recovers all records.</w:t>
      </w:r>
    </w:p>
    <w:tbl>
      <w:tblPr>
        <w:tblW w:type="auto" w:w="0"/>
        <w:jc w:val="center"/>
        <w:tblLayout w:type="fixed"/>
        <w:tblLook w:firstColumn="1" w:firstRow="1" w:lastColumn="0" w:lastRow="0" w:noHBand="0" w:noVBand="1" w:val="04A0"/>
      </w:tblPr>
      <w:tblGrid>
        <w:gridCol w:w="10080"/>
      </w:tblGrid>
      <w:tr>
        <w:tc>
          <w:tcPr>
            <w:tcW w:type="dxa" w:w="9864"/>
            <w:shd w:fill="FCEDEA"/>
            <w:tcMar>
              <w:top w:w="150" w:type="dxa"/>
              <w:start w:w="190" w:type="dxa"/>
              <w:bottom w:w="150" w:type="dxa"/>
              <w:end w:w="190" w:type="dxa"/>
            </w:tcMar>
            <w:tcBorders>
              <w:top w:val="single" w:sz="3" w:color="FCEDEA"/>
              <w:bottom w:val="single" w:sz="3" w:color="FCEDEA"/>
              <w:start w:val="single" w:sz="22" w:color="B5371F"/>
              <w:end w:val="single" w:sz="3" w:color="FCEDEA"/>
            </w:tcBorders>
          </w:tcPr>
          <w:p>
            <w:pPr>
              <w:keepNext/>
              <w:keepLines w:val="0"/>
              <w:spacing w:before="0" w:after="80" w:line="240" w:lineRule="auto"/>
            </w:pPr>
            <w:r>
              <w:rPr>
                <w:rFonts w:ascii="Arial" w:hAnsi="Arial"/>
                <w:b/>
                <w:color w:val="B5371F"/>
                <w:sz w:val="22"/>
              </w:rPr>
              <w:t>Go-live decision</w:t>
            </w:r>
          </w:p>
          <w:p>
            <w:pPr>
              <w:keepNext w:val="0"/>
              <w:keepLines w:val="0"/>
              <w:spacing w:before="0" w:after="0" w:line="274" w:lineRule="auto"/>
            </w:pPr>
            <w:r>
              <w:rPr>
                <w:rFonts w:ascii="Arial" w:hAnsi="Arial"/>
                <w:color w:val="17324D"/>
                <w:sz w:val="20"/>
              </w:rPr>
              <w:t>Do not promote until employer codes, bearer-token exchange, pull frequency, source timezone, historical backfill start date and reconciliation owners are agreed and documented.</w:t>
            </w:r>
          </w:p>
        </w:tc>
      </w:tr>
    </w:tbl>
    <w:p>
      <w:pPr>
        <w:keepNext w:val="0"/>
        <w:keepLines w:val="0"/>
        <w:spacing w:before="0" w:after="60" w:line="276" w:lineRule="auto"/>
      </w:pPr>
      <w:r>
        <w:rPr>
          <w:rFonts w:ascii="Arial" w:hAnsi="Arial"/>
          <w:b w:val="0"/>
          <w:i w:val="0"/>
          <w:color w:val="17324D"/>
          <w:sz w:val="2"/>
        </w:rPr>
      </w:r>
    </w:p>
    <w:sectPr w:rsidR="00FC693F" w:rsidRPr="0006063C" w:rsidSect="00034616">
      <w:headerReference w:type="default" r:id="rId9"/>
      <w:footerReference w:type="default" r:id="rId10"/>
      <w:headerReference w:type="first" r:id="rId11"/>
      <w:footerReference w:type="first" r:id="rId12"/>
      <w:pgSz w:w="12240" w:h="15840"/>
      <w:pgMar w:top="979" w:right="1080" w:bottom="936"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6912"/>
          <w:tcMar>
            <w:top w:w="25" w:type="dxa"/>
            <w:start w:w="0" w:type="dxa"/>
            <w:bottom w:w="0" w:type="dxa"/>
            <w:end w:w="0" w:type="dxa"/>
          </w:tcMar>
        </w:tcPr>
        <w:p>
          <w:pPr>
            <w:keepNext w:val="0"/>
            <w:keepLines w:val="0"/>
            <w:spacing w:before="0" w:after="0" w:line="240" w:lineRule="auto"/>
          </w:pPr>
          <w:r>
            <w:rPr>
              <w:rFonts w:ascii="Arial" w:hAnsi="Arial"/>
              <w:color w:val="496578"/>
              <w:sz w:val="16"/>
            </w:rPr>
            <w:t>Confidential • Authoritative dated integration contract • 12 August 2026</w:t>
          </w:r>
        </w:p>
      </w:tc>
      <w:tc>
        <w:tcPr>
          <w:tcW w:type="dxa" w:w="3168"/>
          <w:tcMar>
            <w:top w:w="25" w:type="dxa"/>
            <w:start w:w="0" w:type="dxa"/>
            <w:bottom w:w="0" w:type="dxa"/>
            <w:end w:w="0" w:type="dxa"/>
          </w:tcMar>
        </w:tcPr>
        <w:p>
          <w:pPr>
            <w:jc w:val="right"/>
          </w:pPr>
          <w:r>
            <w:rPr>
              <w:rFonts w:ascii="Arial" w:hAnsi="Arial"/>
              <w:color w:val="496578"/>
              <w:sz w:val="17"/>
            </w:rPr>
            <w:t xml:space="preserve">Page </w:t>
          </w:r>
          <w:r>
            <w:rPr>
              <w:rFonts w:ascii="Arial" w:hAnsi="Arial"/>
              <w:color w:val="496578"/>
              <w:sz w:val="17"/>
            </w:rPr>
            <w:fldChar w:fldCharType="begin"/>
            <w:instrText xml:space="preserve">PAGE</w:instrText>
            <w:fldChar w:fldCharType="end"/>
          </w:r>
          <w:r>
            <w:rPr>
              <w:rFonts w:ascii="Arial" w:hAnsi="Arial"/>
              <w:color w:val="496578"/>
              <w:sz w:val="17"/>
            </w:rPr>
            <w:t xml:space="preserve"> of </w:t>
          </w:r>
          <w:r>
            <w:rPr>
              <w:rFonts w:ascii="Arial" w:hAnsi="Arial"/>
              <w:color w:val="496578"/>
              <w:sz w:val="17"/>
            </w:rPr>
            <w:fldChar w:fldCharType="begin"/>
            <w:instrText xml:space="preserve">NUMPAGES</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Bdr>
        <w:bottom w:val="single" w:sz="5" w:space="5" w:color="B9CBD8"/>
      </w:pBdr>
    </w:pPr>
    <w:r>
      <w:rPr>
        <w:rFonts w:ascii="Arial" w:hAnsi="Arial"/>
        <w:b/>
        <w:color w:val="003A66"/>
        <w:sz w:val="16"/>
      </w:rPr>
      <w:t>SANLAM OPTIMISE</w:t>
    </w:r>
    <w:r>
      <w:rPr>
        <w:rFonts w:ascii="Arial" w:hAnsi="Arial"/>
        <w:color w:val="496578"/>
        <w:sz w:val="16"/>
      </w:rPr>
      <w:t xml:space="preserve">   |   Integration Specification v2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3A66"/>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003A66"/>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78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7324D"/>
      <w:sz w:val="20"/>
    </w:rPr>
  </w:style>
  <w:style w:type="paragraph" w:styleId="ListBullet2">
    <w:name w:val="List Bullet 2"/>
    <w:basedOn w:val="Normal"/>
    <w:uiPriority w:val="99"/>
    <w:unhideWhenUsed/>
    <w:rsid w:val="00326F90"/>
    <w:pPr>
      <w:numPr>
        <w:numId w:val="2"/>
      </w:numPr>
      <w:contextualSpacing/>
    </w:pPr>
    <w:rPr>
      <w:rFonts w:ascii="Arial" w:hAnsi="Arial"/>
      <w:color w:val="17324D"/>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7324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Sanlam Optimise — Real-Time Integration Specification v2</dc:title>
  <dc:subject>Dated API and dashboard filtering contract</dc:subject>
  <dc:creator>EFS / Optimise</dc:creator>
  <cp:keywords>Optimise, integration, API, dashboard, effective dating, source_updated_at, Prisma</cp:keywords>
  <dc:description>Generated from the aligned v2 portal package and canonical report formats.</dc:description>
  <cp:lastModifiedBy/>
  <cp:revision>1</cp:revision>
  <dcterms:created xsi:type="dcterms:W3CDTF">2013-12-23T23:15:00Z</dcterms:created>
  <dcterms:modified xsi:type="dcterms:W3CDTF">2013-12-23T23:15:00Z</dcterms:modified>
  <cp:category/>
</cp:coreProperties>
</file>