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F9B" w:rsidRDefault="00292F9B" w:rsidP="00292F9B">
      <w:pPr>
        <w:spacing w:after="240" w:line="360" w:lineRule="auto"/>
        <w:rPr>
          <w:rFonts w:ascii="HelveticaNeue" w:eastAsia="Times New Roman" w:hAnsi="HelveticaNeue"/>
          <w:color w:val="333333"/>
        </w:rPr>
      </w:pPr>
      <w:r>
        <w:rPr>
          <w:rFonts w:ascii="HelveticaNeue" w:eastAsia="Times New Roman" w:hAnsi="HelveticaNeue"/>
          <w:color w:val="333333"/>
        </w:rPr>
        <w:t xml:space="preserve">According to IT law wiki </w:t>
      </w:r>
      <w:proofErr w:type="gramStart"/>
      <w:r>
        <w:rPr>
          <w:rFonts w:ascii="HelveticaNeue" w:eastAsia="Times New Roman" w:hAnsi="HelveticaNeue"/>
          <w:color w:val="333333"/>
        </w:rPr>
        <w:t>“ a</w:t>
      </w:r>
      <w:proofErr w:type="gramEnd"/>
      <w:r>
        <w:rPr>
          <w:rFonts w:ascii="HelveticaNeue" w:eastAsia="Times New Roman" w:hAnsi="HelveticaNeue"/>
          <w:color w:val="333333"/>
        </w:rPr>
        <w:t xml:space="preserve"> state may tax a transaction if there is some connection (nexus) of the transaction to the state. If the buyer or seller </w:t>
      </w:r>
      <w:proofErr w:type="gramStart"/>
      <w:r>
        <w:rPr>
          <w:rFonts w:ascii="HelveticaNeue" w:eastAsia="Times New Roman" w:hAnsi="HelveticaNeue"/>
          <w:color w:val="333333"/>
        </w:rPr>
        <w:t>is located in</w:t>
      </w:r>
      <w:proofErr w:type="gramEnd"/>
      <w:r>
        <w:rPr>
          <w:rFonts w:ascii="HelveticaNeue" w:eastAsia="Times New Roman" w:hAnsi="HelveticaNeue"/>
          <w:color w:val="333333"/>
        </w:rPr>
        <w:t xml:space="preserve"> the state transaction may be subject to the sale tax. “</w:t>
      </w:r>
      <w:r>
        <w:rPr>
          <w:rFonts w:ascii="HelveticaNeue" w:eastAsia="Times New Roman" w:hAnsi="HelveticaNeue"/>
          <w:color w:val="333333"/>
        </w:rPr>
        <w:br/>
      </w:r>
      <w:r>
        <w:rPr>
          <w:rFonts w:ascii="HelveticaNeue" w:eastAsia="Times New Roman" w:hAnsi="HelveticaNeue"/>
          <w:color w:val="333333"/>
        </w:rPr>
        <w:br/>
        <w:t xml:space="preserve">Steve’s supplier lives in </w:t>
      </w:r>
      <w:proofErr w:type="gramStart"/>
      <w:r>
        <w:rPr>
          <w:rFonts w:ascii="HelveticaNeue" w:eastAsia="Times New Roman" w:hAnsi="HelveticaNeue"/>
          <w:color w:val="333333"/>
        </w:rPr>
        <w:t>California</w:t>
      </w:r>
      <w:proofErr w:type="gramEnd"/>
      <w:r>
        <w:rPr>
          <w:rFonts w:ascii="HelveticaNeue" w:eastAsia="Times New Roman" w:hAnsi="HelveticaNeue"/>
          <w:color w:val="333333"/>
        </w:rPr>
        <w:t xml:space="preserve"> but he doesn’t. His supplier also has facilities in California as well. </w:t>
      </w:r>
      <w:bookmarkStart w:id="0" w:name="_GoBack"/>
      <w:bookmarkEnd w:id="0"/>
      <w:r>
        <w:rPr>
          <w:rFonts w:ascii="HelveticaNeue" w:eastAsia="Times New Roman" w:hAnsi="HelveticaNeue"/>
          <w:color w:val="333333"/>
        </w:rPr>
        <w:br/>
        <w:t xml:space="preserve">In this case Steve would not be subject to state tax because he has no nexus to the state since he lives in Minnesota and sells online. </w:t>
      </w:r>
      <w:r>
        <w:rPr>
          <w:rFonts w:ascii="HelveticaNeue" w:eastAsia="Times New Roman" w:hAnsi="HelveticaNeue"/>
          <w:color w:val="333333"/>
        </w:rPr>
        <w:br/>
      </w:r>
      <w:r>
        <w:rPr>
          <w:rFonts w:ascii="HelveticaNeue" w:eastAsia="Times New Roman" w:hAnsi="HelveticaNeue"/>
          <w:color w:val="333333"/>
        </w:rPr>
        <w:br/>
        <w:t xml:space="preserve">His supplier is subject to state tax because he has a nexus in California. The supplier has a nexus because he has a facility that produces the supplies in that state. </w:t>
      </w:r>
      <w:r>
        <w:rPr>
          <w:rFonts w:ascii="HelveticaNeue" w:eastAsia="Times New Roman" w:hAnsi="HelveticaNeue"/>
          <w:color w:val="333333"/>
        </w:rPr>
        <w:br/>
      </w:r>
      <w:r>
        <w:rPr>
          <w:rFonts w:ascii="HelveticaNeue" w:eastAsia="Times New Roman" w:hAnsi="HelveticaNeue"/>
          <w:color w:val="333333"/>
        </w:rPr>
        <w:br/>
        <w:t xml:space="preserve">Steve does have to pay a use tax to his state government. </w:t>
      </w:r>
      <w:r>
        <w:rPr>
          <w:rFonts w:ascii="HelveticaNeue" w:eastAsia="Times New Roman" w:hAnsi="HelveticaNeue"/>
          <w:color w:val="333333"/>
        </w:rPr>
        <w:br/>
      </w:r>
      <w:r>
        <w:rPr>
          <w:rFonts w:ascii="HelveticaNeue" w:eastAsia="Times New Roman" w:hAnsi="HelveticaNeue"/>
          <w:color w:val="333333"/>
        </w:rPr>
        <w:br/>
        <w:t xml:space="preserve">A year later the supplier opens a warehouse in Minnesota to handle its online orders for an entire country. Steve will be required to pay Minnesota state tax because he now has a nexus in Minnesota. </w:t>
      </w:r>
      <w:r>
        <w:rPr>
          <w:rFonts w:ascii="HelveticaNeue" w:eastAsia="Times New Roman" w:hAnsi="HelveticaNeue"/>
          <w:color w:val="333333"/>
        </w:rPr>
        <w:br/>
      </w:r>
      <w:r>
        <w:rPr>
          <w:rFonts w:ascii="HelveticaNeue" w:eastAsia="Times New Roman" w:hAnsi="HelveticaNeue"/>
          <w:color w:val="333333"/>
        </w:rPr>
        <w:br/>
        <w:t>According to “Quill v. North Dakota, 504 U.S. 298 (1992), the U.S. Supreme Court ruled that retailers are exempt from collecting sales taxes in states where they have no “nexus” or physical presence, such as a store, office, or warehouse. “</w:t>
      </w:r>
      <w:r>
        <w:rPr>
          <w:rFonts w:ascii="HelveticaNeue" w:eastAsia="Times New Roman" w:hAnsi="HelveticaNeue"/>
          <w:color w:val="333333"/>
        </w:rPr>
        <w:br/>
      </w:r>
      <w:r>
        <w:rPr>
          <w:rFonts w:ascii="HelveticaNeue" w:eastAsia="Times New Roman" w:hAnsi="HelveticaNeue"/>
          <w:color w:val="333333"/>
        </w:rPr>
        <w:br/>
      </w:r>
      <w:proofErr w:type="gramStart"/>
      <w:r>
        <w:rPr>
          <w:rFonts w:ascii="HelveticaNeue" w:eastAsia="Times New Roman" w:hAnsi="HelveticaNeue"/>
          <w:color w:val="333333"/>
        </w:rPr>
        <w:t>Also</w:t>
      </w:r>
      <w:proofErr w:type="gramEnd"/>
      <w:r>
        <w:rPr>
          <w:rFonts w:ascii="HelveticaNeue" w:eastAsia="Times New Roman" w:hAnsi="HelveticaNeue"/>
          <w:color w:val="333333"/>
        </w:rPr>
        <w:t xml:space="preserve"> In the, “2005 case of Borders Online, LLC v. State Bd. of Equalization, 129 Cal. App. 4th 1179, 29 Cal. </w:t>
      </w:r>
      <w:proofErr w:type="spellStart"/>
      <w:r>
        <w:rPr>
          <w:rFonts w:ascii="HelveticaNeue" w:eastAsia="Times New Roman" w:hAnsi="HelveticaNeue"/>
          <w:color w:val="333333"/>
        </w:rPr>
        <w:t>Rptr</w:t>
      </w:r>
      <w:proofErr w:type="spellEnd"/>
      <w:r>
        <w:rPr>
          <w:rFonts w:ascii="HelveticaNeue" w:eastAsia="Times New Roman" w:hAnsi="HelveticaNeue"/>
          <w:color w:val="333333"/>
        </w:rPr>
        <w:t>. 3d 176 (2005), a California court required Borders Online to collect state sales tax because Borders Online had an effective presence in California. “</w:t>
      </w:r>
      <w:r>
        <w:rPr>
          <w:rFonts w:ascii="HelveticaNeue" w:eastAsia="Times New Roman" w:hAnsi="HelveticaNeue"/>
          <w:color w:val="333333"/>
        </w:rPr>
        <w:br/>
      </w:r>
      <w:r>
        <w:rPr>
          <w:rFonts w:ascii="HelveticaNeue" w:eastAsia="Times New Roman" w:hAnsi="HelveticaNeue"/>
          <w:color w:val="333333"/>
        </w:rPr>
        <w:br/>
        <w:t>In conclusion Steve will have to pay sales tax in Minnesota because there is a physical warehouse in Minnesota. Steve buys his supplies from this warehouse which establishes a nexus.</w:t>
      </w:r>
    </w:p>
    <w:p w:rsidR="00292F9B" w:rsidRDefault="00292F9B"/>
    <w:sectPr w:rsidR="00292F9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CBF" w:rsidRDefault="00CA7CBF" w:rsidP="00292F9B">
      <w:r>
        <w:separator/>
      </w:r>
    </w:p>
  </w:endnote>
  <w:endnote w:type="continuationSeparator" w:id="0">
    <w:p w:rsidR="00CA7CBF" w:rsidRDefault="00CA7CBF" w:rsidP="00292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CBF" w:rsidRDefault="00CA7CBF" w:rsidP="00292F9B">
      <w:r>
        <w:separator/>
      </w:r>
    </w:p>
  </w:footnote>
  <w:footnote w:type="continuationSeparator" w:id="0">
    <w:p w:rsidR="00CA7CBF" w:rsidRDefault="00CA7CBF" w:rsidP="00292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F9B" w:rsidRDefault="00292F9B">
    <w:pPr>
      <w:pStyle w:val="Header"/>
    </w:pPr>
    <w:r>
      <w:t>Kiauna Newman</w:t>
    </w:r>
    <w:r>
      <w:ptab w:relativeTo="margin" w:alignment="center" w:leader="none"/>
    </w:r>
    <w:r>
      <w:t>Week 3</w:t>
    </w:r>
    <w:r>
      <w:ptab w:relativeTo="margin" w:alignment="right" w:leader="none"/>
    </w:r>
    <w:r>
      <w:t>04/01/19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9B"/>
    <w:rsid w:val="00292F9B"/>
    <w:rsid w:val="00CA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2935"/>
  <w15:chartTrackingRefBased/>
  <w15:docId w15:val="{2B49FA70-F915-4BE7-B12B-739AF4AE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F9B"/>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F9B"/>
    <w:pPr>
      <w:tabs>
        <w:tab w:val="center" w:pos="4680"/>
        <w:tab w:val="right" w:pos="9360"/>
      </w:tabs>
    </w:pPr>
  </w:style>
  <w:style w:type="character" w:customStyle="1" w:styleId="HeaderChar">
    <w:name w:val="Header Char"/>
    <w:basedOn w:val="DefaultParagraphFont"/>
    <w:link w:val="Header"/>
    <w:uiPriority w:val="99"/>
    <w:rsid w:val="00292F9B"/>
    <w:rPr>
      <w:rFonts w:eastAsiaTheme="minorEastAsia"/>
    </w:rPr>
  </w:style>
  <w:style w:type="paragraph" w:styleId="Footer">
    <w:name w:val="footer"/>
    <w:basedOn w:val="Normal"/>
    <w:link w:val="FooterChar"/>
    <w:uiPriority w:val="99"/>
    <w:unhideWhenUsed/>
    <w:rsid w:val="00292F9B"/>
    <w:pPr>
      <w:tabs>
        <w:tab w:val="center" w:pos="4680"/>
        <w:tab w:val="right" w:pos="9360"/>
      </w:tabs>
    </w:pPr>
  </w:style>
  <w:style w:type="character" w:customStyle="1" w:styleId="FooterChar">
    <w:name w:val="Footer Char"/>
    <w:basedOn w:val="DefaultParagraphFont"/>
    <w:link w:val="Footer"/>
    <w:uiPriority w:val="99"/>
    <w:rsid w:val="00292F9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53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Kiauna Newman</dc:creator>
  <cp:keywords/>
  <dc:description/>
  <cp:lastModifiedBy>Kiauna Newman</cp:lastModifiedBy>
  <cp:revision>1</cp:revision>
  <dcterms:created xsi:type="dcterms:W3CDTF">2019-04-01T23:59:00Z</dcterms:created>
  <dcterms:modified xsi:type="dcterms:W3CDTF">2019-04-02T00:02:00Z</dcterms:modified>
</cp:coreProperties>
</file>