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6A7F" w14:textId="0DCC6F22" w:rsidR="00377A7A" w:rsidRDefault="00000000">
      <w:pPr>
        <w:pStyle w:val="Ttulo2"/>
        <w:spacing w:before="200" w:after="200"/>
      </w:pPr>
      <w:r>
        <w:rPr>
          <w:b/>
          <w:bCs/>
          <w:sz w:val="28"/>
          <w:szCs w:val="28"/>
        </w:rPr>
        <w:t>Código de Práticas de Reconciliaçã</w:t>
      </w:r>
      <w:r w:rsidR="00A428D7">
        <w:rPr>
          <w:b/>
          <w:bCs/>
          <w:sz w:val="28"/>
          <w:szCs w:val="28"/>
        </w:rPr>
        <w:t>o</w:t>
      </w:r>
    </w:p>
    <w:p w14:paraId="4EC538AB" w14:textId="1BB3BD8E" w:rsidR="00377A7A" w:rsidRDefault="00000000">
      <w:pPr>
        <w:spacing w:before="100" w:after="100"/>
      </w:pPr>
      <w:r>
        <w:rPr>
          <w:b/>
          <w:bCs/>
          <w:sz w:val="24"/>
          <w:szCs w:val="24"/>
        </w:rPr>
        <w:t>Versão:</w:t>
      </w:r>
      <w:r>
        <w:rPr>
          <w:sz w:val="24"/>
          <w:szCs w:val="24"/>
        </w:rPr>
        <w:t xml:space="preserve"> 1.0</w:t>
      </w:r>
      <w:r>
        <w:rPr>
          <w:b/>
          <w:bCs/>
          <w:sz w:val="24"/>
          <w:szCs w:val="24"/>
        </w:rPr>
        <w:t>Data:</w:t>
      </w:r>
      <w:r>
        <w:rPr>
          <w:sz w:val="24"/>
          <w:szCs w:val="24"/>
        </w:rPr>
        <w:t xml:space="preserve"> [Data de </w:t>
      </w:r>
      <w:proofErr w:type="gramStart"/>
      <w:r>
        <w:rPr>
          <w:sz w:val="24"/>
          <w:szCs w:val="24"/>
        </w:rPr>
        <w:t>Elaboração]</w:t>
      </w:r>
      <w:r>
        <w:rPr>
          <w:b/>
          <w:bCs/>
          <w:sz w:val="24"/>
          <w:szCs w:val="24"/>
        </w:rPr>
        <w:t>Responsável</w:t>
      </w:r>
      <w:proofErr w:type="gramEnd"/>
      <w:r>
        <w:rPr>
          <w:b/>
          <w:bCs/>
          <w:sz w:val="24"/>
          <w:szCs w:val="24"/>
        </w:rPr>
        <w:t xml:space="preserve"> pela Elaboração:</w:t>
      </w:r>
      <w:r>
        <w:rPr>
          <w:sz w:val="24"/>
          <w:szCs w:val="24"/>
        </w:rPr>
        <w:t xml:space="preserve"> [Departamento/</w:t>
      </w:r>
      <w:proofErr w:type="gramStart"/>
      <w:r>
        <w:rPr>
          <w:sz w:val="24"/>
          <w:szCs w:val="24"/>
        </w:rPr>
        <w:t>Nome]</w:t>
      </w:r>
      <w:r>
        <w:rPr>
          <w:b/>
          <w:bCs/>
          <w:sz w:val="24"/>
          <w:szCs w:val="24"/>
        </w:rPr>
        <w:t>Aprovação</w:t>
      </w:r>
      <w:proofErr w:type="gram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[Cargo/Nome do Aprovador]</w:t>
      </w:r>
    </w:p>
    <w:p w14:paraId="7F1BCA3D" w14:textId="77777777" w:rsidR="00377A7A" w:rsidRDefault="00000000">
      <w:pPr>
        <w:pStyle w:val="Ttulo3"/>
        <w:spacing w:before="200" w:after="200"/>
      </w:pPr>
      <w:r>
        <w:rPr>
          <w:b/>
          <w:bCs/>
          <w:sz w:val="28"/>
          <w:szCs w:val="28"/>
        </w:rPr>
        <w:t>1. Introdução e Objetivo</w:t>
      </w:r>
    </w:p>
    <w:p w14:paraId="682A895C" w14:textId="77777777" w:rsidR="00377A7A" w:rsidRDefault="00000000">
      <w:pPr>
        <w:spacing w:before="100" w:after="100"/>
      </w:pPr>
      <w:r>
        <w:rPr>
          <w:sz w:val="24"/>
          <w:szCs w:val="24"/>
        </w:rPr>
        <w:t>Este Código de Práticas de Reconciliação estabelece as diretrizes e procedimentos padronizados para a realização da reconciliação na Mina [Nome da Mina/Empresa]. Seu principal objetivo é documentar as práticas atuais, garantir a consistência dos processos, promover a melhoria contínua da precisão dos modelos, otimizar a recuperação de recursos e, consequentemente, maximizar a lucratividade da operação.</w:t>
      </w:r>
    </w:p>
    <w:p w14:paraId="42E46A5C" w14:textId="77777777" w:rsidR="00377A7A" w:rsidRDefault="00000000">
      <w:pPr>
        <w:pStyle w:val="Ttulo3"/>
        <w:spacing w:before="200" w:after="200"/>
      </w:pPr>
      <w:r>
        <w:rPr>
          <w:b/>
          <w:bCs/>
          <w:sz w:val="28"/>
          <w:szCs w:val="28"/>
        </w:rPr>
        <w:t>2. Fundamentos da Reconciliação</w:t>
      </w:r>
    </w:p>
    <w:p w14:paraId="4FD12064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2.1 Conceito e Importância da Reconciliação</w:t>
      </w:r>
    </w:p>
    <w:p w14:paraId="24D4756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Definição de reconciliação como ferramenta de monitoramento e aprimoramento contínuo.</w:t>
      </w:r>
    </w:p>
    <w:p w14:paraId="05A96297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Discussão sobre a necessidade de calibrar modelos (geológicos, de lavra, de planejamento) em relação aos resultados reais.</w:t>
      </w:r>
    </w:p>
    <w:p w14:paraId="4E37F0BA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Reconhecimento da reconciliação como um "hub" central para a avaliação de desempenho de todos os sistemas de mineração.</w:t>
      </w:r>
    </w:p>
    <w:p w14:paraId="531B0069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2.2 Cadeia de Valor da Mineração e Reconciliação</w:t>
      </w:r>
    </w:p>
    <w:p w14:paraId="4DEBAB1D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Descrição da cadeia de valor da mineração da mina [Nome da Mina/Empresa], desde a exploração até o </w:t>
      </w:r>
      <w:proofErr w:type="gramStart"/>
      <w:r>
        <w:rPr>
          <w:sz w:val="24"/>
          <w:szCs w:val="24"/>
        </w:rPr>
        <w:t>produto final</w:t>
      </w:r>
      <w:proofErr w:type="gramEnd"/>
      <w:r>
        <w:rPr>
          <w:sz w:val="24"/>
          <w:szCs w:val="24"/>
        </w:rPr>
        <w:t>.</w:t>
      </w:r>
    </w:p>
    <w:p w14:paraId="651051BF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Identificação dos pontos de agregação de valor e das inter-relações entre os estágios da cadeia onde a reconciliação é aplicável.</w:t>
      </w:r>
    </w:p>
    <w:p w14:paraId="3E1D00E7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Enfatizar como a reconciliação desafia suposições e modelos ao longo da cadeia de valor.</w:t>
      </w:r>
    </w:p>
    <w:p w14:paraId="79B862B3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2.3 Mapeamento de Fluxo de Minério e Movimentação de Material</w:t>
      </w:r>
    </w:p>
    <w:p w14:paraId="31AF637D" w14:textId="77777777" w:rsidR="00377A7A" w:rsidRDefault="00000000" w:rsidP="00243E3B">
      <w:pPr>
        <w:spacing w:before="100" w:after="100"/>
      </w:pPr>
      <w:r w:rsidRPr="00243E3B">
        <w:rPr>
          <w:b/>
          <w:bCs/>
          <w:sz w:val="24"/>
          <w:szCs w:val="24"/>
        </w:rPr>
        <w:t>Matriz de Processos</w:t>
      </w:r>
      <w:r w:rsidRPr="00243E3B">
        <w:rPr>
          <w:sz w:val="24"/>
          <w:szCs w:val="24"/>
        </w:rPr>
        <w:t>:</w:t>
      </w:r>
    </w:p>
    <w:p w14:paraId="308892FE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Definição das "raias" horizontais (funções/departamentos: e.g., Geologia de Recursos, Planejamento de Mina, Operações, Processamento).</w:t>
      </w:r>
    </w:p>
    <w:p w14:paraId="027BF949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Definição das colunas verticais (atividades/processos: e.g., Modelagem Geológica, Controle de Teor, Perfuração e Desmonte, Lavra, Estocagem, Beneficiamento).</w:t>
      </w:r>
    </w:p>
    <w:p w14:paraId="69172548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Estrutura visual ou descritiva da matriz que interliga responsabilidades e atividades.</w:t>
      </w:r>
    </w:p>
    <w:p w14:paraId="37FE2B1A" w14:textId="77777777" w:rsidR="00377A7A" w:rsidRDefault="00000000">
      <w:pPr>
        <w:spacing w:before="100" w:after="100"/>
      </w:pPr>
      <w:r>
        <w:rPr>
          <w:b/>
          <w:bCs/>
          <w:sz w:val="24"/>
          <w:szCs w:val="24"/>
        </w:rPr>
        <w:t>Checklist SIPOC (Fornecedor, Entrada, Processo, Saída, Cliente)</w:t>
      </w:r>
      <w:r>
        <w:rPr>
          <w:sz w:val="24"/>
          <w:szCs w:val="24"/>
        </w:rPr>
        <w:t>:</w:t>
      </w:r>
    </w:p>
    <w:p w14:paraId="2CC85D29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Detalhes sobre a aplicação da metodologia SIPOC para cada processo mapeado na matriz.</w:t>
      </w:r>
    </w:p>
    <w:p w14:paraId="1DAACA22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Fornecedor:</w:t>
      </w:r>
      <w:r>
        <w:rPr>
          <w:sz w:val="24"/>
          <w:szCs w:val="24"/>
        </w:rPr>
        <w:t xml:space="preserve"> Identificação de quem fornece os dados/informações.</w:t>
      </w:r>
    </w:p>
    <w:p w14:paraId="3C1944D5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Entrada:</w:t>
      </w:r>
      <w:r>
        <w:rPr>
          <w:sz w:val="24"/>
          <w:szCs w:val="24"/>
        </w:rPr>
        <w:t xml:space="preserve"> Descrição dos dados/informações necessárias.</w:t>
      </w:r>
    </w:p>
    <w:p w14:paraId="307267FC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lastRenderedPageBreak/>
        <w:t>Processo:</w:t>
      </w:r>
      <w:r>
        <w:rPr>
          <w:sz w:val="24"/>
          <w:szCs w:val="24"/>
        </w:rPr>
        <w:t xml:space="preserve"> Detalhamento das etapas executadas, pontos de decisão e controles de qualidade.</w:t>
      </w:r>
    </w:p>
    <w:p w14:paraId="300C08C3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Saída:</w:t>
      </w:r>
      <w:r>
        <w:rPr>
          <w:sz w:val="24"/>
          <w:szCs w:val="24"/>
        </w:rPr>
        <w:t xml:space="preserve"> Apresentação dos resultados ou produtos do processo.</w:t>
      </w:r>
    </w:p>
    <w:p w14:paraId="58B8EEFD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Cliente:</w:t>
      </w:r>
      <w:r>
        <w:rPr>
          <w:sz w:val="24"/>
          <w:szCs w:val="24"/>
        </w:rPr>
        <w:t xml:space="preserve"> Indicação de quem utiliza as saídas do processo.</w:t>
      </w:r>
    </w:p>
    <w:p w14:paraId="49B54B0F" w14:textId="77777777" w:rsidR="00377A7A" w:rsidRDefault="00000000">
      <w:pPr>
        <w:spacing w:before="100" w:after="100"/>
      </w:pPr>
      <w:r>
        <w:rPr>
          <w:sz w:val="24"/>
          <w:szCs w:val="24"/>
        </w:rPr>
        <w:t>A importância do envolvimento multidisciplinar na criação e revisão desses mapeamentos.</w:t>
      </w:r>
    </w:p>
    <w:p w14:paraId="4B0D4E8C" w14:textId="77777777" w:rsidR="00377A7A" w:rsidRDefault="00000000">
      <w:pPr>
        <w:pStyle w:val="Ttulo3"/>
        <w:spacing w:before="200" w:after="200"/>
      </w:pPr>
      <w:r>
        <w:rPr>
          <w:b/>
          <w:bCs/>
          <w:sz w:val="28"/>
          <w:szCs w:val="28"/>
        </w:rPr>
        <w:t>3. Elementos do Código de Reconciliação</w:t>
      </w:r>
    </w:p>
    <w:p w14:paraId="588B315E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3.1 Relações Chave de Reconciliação</w:t>
      </w:r>
    </w:p>
    <w:p w14:paraId="6EF1BB30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Nomenclatura Padrão</w:t>
      </w:r>
      <w:r>
        <w:rPr>
          <w:sz w:val="24"/>
          <w:szCs w:val="24"/>
        </w:rPr>
        <w:t>:</w:t>
      </w:r>
    </w:p>
    <w:p w14:paraId="4AA70AAF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Adoção de uma convenção de nomenclatura clara (e.g., "Fonte A para Fonte B") para todas as relações de reconciliação.</w:t>
      </w:r>
    </w:p>
    <w:p w14:paraId="0551CB4C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Tabela ou representação gráfica das relações de reconciliação monitoradas, utilizando a nomenclatura padrão.</w:t>
      </w:r>
    </w:p>
    <w:p w14:paraId="2DF0CF6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i/>
          <w:iCs/>
          <w:sz w:val="24"/>
          <w:szCs w:val="24"/>
        </w:rPr>
        <w:t>Exemplos:</w:t>
      </w:r>
    </w:p>
    <w:p w14:paraId="0A52072D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Modelo de Recurso para Modelo de Reserva.</w:t>
      </w:r>
    </w:p>
    <w:p w14:paraId="07EA11E2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Modelo de Recurso para Controle de Teor.</w:t>
      </w:r>
    </w:p>
    <w:p w14:paraId="39BCB7FC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Controle de Teor para Produção de Mineração.</w:t>
      </w:r>
    </w:p>
    <w:p w14:paraId="17EB10D2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Produção de Mineração para Alimentação da Planta.</w:t>
      </w:r>
    </w:p>
    <w:p w14:paraId="2FF10CB3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Alimentação da Planta para Produção da Planta.</w:t>
      </w:r>
    </w:p>
    <w:p w14:paraId="4D8102A6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3.2 Coleta e Validação de Dados</w:t>
      </w:r>
    </w:p>
    <w:p w14:paraId="694F690D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Para cada fonte de dados crítica para a reconciliação:</w:t>
      </w:r>
    </w:p>
    <w:p w14:paraId="267E1441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Fonte e Tipo:</w:t>
      </w:r>
      <w:r>
        <w:rPr>
          <w:sz w:val="24"/>
          <w:szCs w:val="24"/>
        </w:rPr>
        <w:t xml:space="preserve"> Origem e natureza dos dados (e.g., sondagem, amostragem, levantamento topográfico, dados de balança de correia, dados de laboratório).</w:t>
      </w:r>
    </w:p>
    <w:p w14:paraId="4DDBD71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Frequência de Coleta:</w:t>
      </w:r>
      <w:r>
        <w:rPr>
          <w:sz w:val="24"/>
          <w:szCs w:val="24"/>
        </w:rPr>
        <w:t xml:space="preserve"> Período de atualização dos dados (e.g., diário, semanal, mensal, por batelada).</w:t>
      </w:r>
    </w:p>
    <w:p w14:paraId="05D80A51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Procedimentos de QA/QC:</w:t>
      </w:r>
      <w:r>
        <w:rPr>
          <w:sz w:val="24"/>
          <w:szCs w:val="24"/>
        </w:rPr>
        <w:t xml:space="preserve"> Descrição dos controles de qualidade e garantia de qualidade aplicados (e.g., calibrações, revisões por pares, auditorias).</w:t>
      </w:r>
    </w:p>
    <w:p w14:paraId="4C10814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Transformações de Dados:</w:t>
      </w:r>
      <w:r>
        <w:rPr>
          <w:sz w:val="24"/>
          <w:szCs w:val="24"/>
        </w:rPr>
        <w:t xml:space="preserve"> Detalhamento de quaisquer cálculos, normalizações ou conversões aplicadas aos dados brutos.</w:t>
      </w:r>
    </w:p>
    <w:p w14:paraId="303CF91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Limitações e Erros Inerentes:</w:t>
      </w:r>
      <w:r>
        <w:rPr>
          <w:sz w:val="24"/>
          <w:szCs w:val="24"/>
        </w:rPr>
        <w:t xml:space="preserve"> Discussão das faixas de erro esperadas para cada fonte de dados e estratégias de mitigação.</w:t>
      </w:r>
    </w:p>
    <w:p w14:paraId="2E2D5900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3.3 Metodologias e Cálculos</w:t>
      </w:r>
    </w:p>
    <w:p w14:paraId="1CBC26D3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Para cada relação de reconciliação definida na seção 3.1:</w:t>
      </w:r>
    </w:p>
    <w:p w14:paraId="792A2D9D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Dados Requeridos:</w:t>
      </w:r>
      <w:r>
        <w:rPr>
          <w:sz w:val="24"/>
          <w:szCs w:val="24"/>
        </w:rPr>
        <w:t xml:space="preserve"> Lista específica de dados de entrada necessários para o cálculo.</w:t>
      </w:r>
    </w:p>
    <w:p w14:paraId="6224CC61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Frequência:</w:t>
      </w:r>
      <w:r>
        <w:rPr>
          <w:sz w:val="24"/>
          <w:szCs w:val="24"/>
        </w:rPr>
        <w:t xml:space="preserve"> Periodicidade com que a reconciliação é calculada (e.g., diária, semanal, mensal).</w:t>
      </w:r>
    </w:p>
    <w:p w14:paraId="38C19841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Fórmulas e Cálculos:</w:t>
      </w:r>
      <w:r>
        <w:rPr>
          <w:sz w:val="24"/>
          <w:szCs w:val="24"/>
        </w:rPr>
        <w:t xml:space="preserve"> Apresentação das equações e procedimentos detalhados para derivar os resultados de reconciliação (e.g., Toneladas = X / Y, Teor = A / B).</w:t>
      </w:r>
    </w:p>
    <w:p w14:paraId="75FAC87B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lastRenderedPageBreak/>
        <w:t>Propósito:</w:t>
      </w:r>
      <w:r>
        <w:rPr>
          <w:sz w:val="24"/>
          <w:szCs w:val="24"/>
        </w:rPr>
        <w:t xml:space="preserve"> Explicação clara do objetivo de cada cálculo de reconciliação e o que ele busca medir ou comparar.</w:t>
      </w:r>
    </w:p>
    <w:p w14:paraId="30EA12D7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Comentários Adicionais:</w:t>
      </w:r>
      <w:r>
        <w:rPr>
          <w:sz w:val="24"/>
          <w:szCs w:val="24"/>
        </w:rPr>
        <w:t xml:space="preserve"> Quaisquer notas relevantes sobre o cálculo, como efeitos de estocagem, atrasos temporais, ou considerações especiais.</w:t>
      </w:r>
    </w:p>
    <w:p w14:paraId="1EE19B33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3.4 Relatórios de Reconciliação</w:t>
      </w:r>
    </w:p>
    <w:p w14:paraId="500BA5E1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Tipos de Relatórios:</w:t>
      </w:r>
    </w:p>
    <w:p w14:paraId="69E784F9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Listagem dos relatórios padrão gerados (e.g., Reconciliação de Modelo Geológico, Reconciliação de Mina, Reconciliação de Planta, Reconciliação Financeira).</w:t>
      </w:r>
    </w:p>
    <w:p w14:paraId="71E5354C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Modelos ou "visões gerais" de cada tipo de relatório.</w:t>
      </w:r>
    </w:p>
    <w:p w14:paraId="013A9395" w14:textId="77777777" w:rsidR="00377A7A" w:rsidRDefault="00000000">
      <w:pPr>
        <w:spacing w:before="100" w:after="100"/>
      </w:pPr>
      <w:r>
        <w:rPr>
          <w:b/>
          <w:bCs/>
          <w:sz w:val="24"/>
          <w:szCs w:val="24"/>
        </w:rPr>
        <w:t>Especificações de Relatórios:</w:t>
      </w:r>
      <w:r>
        <w:rPr>
          <w:sz w:val="24"/>
          <w:szCs w:val="24"/>
        </w:rPr>
        <w:t xml:space="preserve"> Para cada relatório:</w:t>
      </w:r>
    </w:p>
    <w:p w14:paraId="3F3C6F0E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Propósito:</w:t>
      </w:r>
      <w:r>
        <w:rPr>
          <w:sz w:val="24"/>
          <w:szCs w:val="24"/>
        </w:rPr>
        <w:t xml:space="preserve"> O que o relatório visa informar ou analisar.</w:t>
      </w:r>
    </w:p>
    <w:p w14:paraId="0C7D4136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Frequência:</w:t>
      </w:r>
      <w:r>
        <w:rPr>
          <w:sz w:val="24"/>
          <w:szCs w:val="24"/>
        </w:rPr>
        <w:t xml:space="preserve"> Periodicidade de emissão.</w:t>
      </w:r>
    </w:p>
    <w:p w14:paraId="3C3B5A62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Responsabilidade:</w:t>
      </w:r>
      <w:r>
        <w:rPr>
          <w:sz w:val="24"/>
          <w:szCs w:val="24"/>
        </w:rPr>
        <w:t xml:space="preserve"> Departamento ou função responsável pela geração e emissão.</w:t>
      </w:r>
    </w:p>
    <w:p w14:paraId="4C072A0F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Público-alvo:</w:t>
      </w:r>
      <w:r>
        <w:rPr>
          <w:sz w:val="24"/>
          <w:szCs w:val="24"/>
        </w:rPr>
        <w:t xml:space="preserve"> Departamentos, equipes ou indivíduos que recebem e utilizam o relatório.</w:t>
      </w:r>
    </w:p>
    <w:p w14:paraId="49E54DBA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Meio de Distribuição:</w:t>
      </w:r>
      <w:r>
        <w:rPr>
          <w:sz w:val="24"/>
          <w:szCs w:val="24"/>
        </w:rPr>
        <w:t xml:space="preserve"> Como o relatório é compartilhado (e.g., e-mail, sistema interno, reunião).</w:t>
      </w:r>
    </w:p>
    <w:p w14:paraId="7CE3AEF6" w14:textId="77777777" w:rsidR="00377A7A" w:rsidRDefault="00000000">
      <w:pPr>
        <w:pStyle w:val="Ttulo4"/>
        <w:spacing w:before="200" w:after="200"/>
      </w:pPr>
      <w:r>
        <w:rPr>
          <w:b/>
          <w:bCs/>
          <w:sz w:val="28"/>
          <w:szCs w:val="28"/>
        </w:rPr>
        <w:t>3.5 Responsabilidade e Governança</w:t>
      </w:r>
    </w:p>
    <w:p w14:paraId="45BBFDC4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Estrutura de Responsabilidades:</w:t>
      </w:r>
    </w:p>
    <w:p w14:paraId="58031F58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b/>
          <w:bCs/>
          <w:sz w:val="24"/>
          <w:szCs w:val="24"/>
        </w:rPr>
        <w:t>Campeão da Reconciliação:</w:t>
      </w:r>
      <w:r>
        <w:rPr>
          <w:sz w:val="24"/>
          <w:szCs w:val="24"/>
        </w:rPr>
        <w:t xml:space="preserve"> Designação de um indivíduo ou função (e.g., Gerente de Recursos Minerais, Geólogo Sênior) responsável pela manutenção e promoção do código.</w:t>
      </w:r>
    </w:p>
    <w:p w14:paraId="0AD65654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Atribuições: Integração de novos funcionários, recomendação de atualizações, garantia da execução diária/mensal dos processos.</w:t>
      </w:r>
    </w:p>
    <w:p w14:paraId="5BBA8272" w14:textId="77777777" w:rsidR="00377A7A" w:rsidRDefault="00000000">
      <w:pPr>
        <w:spacing w:before="100" w:after="100"/>
      </w:pPr>
      <w:r>
        <w:rPr>
          <w:b/>
          <w:bCs/>
          <w:sz w:val="24"/>
          <w:szCs w:val="24"/>
        </w:rPr>
        <w:t>Proprietário Sênior do Código:</w:t>
      </w:r>
      <w:r>
        <w:rPr>
          <w:sz w:val="24"/>
          <w:szCs w:val="24"/>
        </w:rPr>
        <w:t xml:space="preserve"> Designação de um gerente de nível superior (e.g., Gerente de Operações, Gerente Técnico) com responsabilidade final pela aprovação de mudanças e garantia da adesão ao código.</w:t>
      </w:r>
    </w:p>
    <w:p w14:paraId="1D2B3685" w14:textId="77777777" w:rsidR="00377A7A" w:rsidRDefault="00000000">
      <w:pPr>
        <w:spacing w:before="100" w:after="100"/>
      </w:pPr>
      <w:r>
        <w:rPr>
          <w:b/>
          <w:bCs/>
          <w:sz w:val="24"/>
          <w:szCs w:val="24"/>
        </w:rPr>
        <w:t>Revisão e Atualização do Código:</w:t>
      </w:r>
    </w:p>
    <w:p w14:paraId="1DD73D66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Processo e frequência de revisão programada do Código de Práticas (e.g., anual, bianual).</w:t>
      </w:r>
    </w:p>
    <w:p w14:paraId="655B248E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Procedimento para solicitação e implementação de alterações no código.</w:t>
      </w:r>
    </w:p>
    <w:p w14:paraId="749645C2" w14:textId="77777777" w:rsidR="00377A7A" w:rsidRDefault="00000000">
      <w:pPr>
        <w:pStyle w:val="Ttulo3"/>
        <w:spacing w:before="200" w:after="200"/>
      </w:pPr>
      <w:r>
        <w:rPr>
          <w:b/>
          <w:bCs/>
          <w:sz w:val="28"/>
          <w:szCs w:val="28"/>
        </w:rPr>
        <w:t>4. Anexos</w:t>
      </w:r>
    </w:p>
    <w:p w14:paraId="43FF0C14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[Anexo A: Diagrama da Cadeia de Valor da Mineração da Mina]</w:t>
      </w:r>
    </w:p>
    <w:p w14:paraId="2A7F249F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[Anexo B: Diagramas de Mapeamento de Processos (Matrizes e SIPOCs detalhados)]</w:t>
      </w:r>
    </w:p>
    <w:p w14:paraId="6AACBAEE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[Anexo C: Exemplos de Relatórios de Reconciliação]</w:t>
      </w:r>
    </w:p>
    <w:p w14:paraId="7F8C2E20" w14:textId="77777777" w:rsidR="00377A7A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[Anexo D: Termos e Definições]</w:t>
      </w:r>
    </w:p>
    <w:p w14:paraId="3FD27085" w14:textId="1D3C7D48" w:rsidR="00377A7A" w:rsidRDefault="00377A7A">
      <w:pPr>
        <w:spacing w:before="100" w:after="100"/>
      </w:pPr>
    </w:p>
    <w:sectPr w:rsidR="00377A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EA2"/>
    <w:multiLevelType w:val="hybridMultilevel"/>
    <w:tmpl w:val="D40420D4"/>
    <w:lvl w:ilvl="0" w:tplc="E75C6D2C">
      <w:start w:val="1"/>
      <w:numFmt w:val="bullet"/>
      <w:lvlText w:val="●"/>
      <w:lvlJc w:val="left"/>
      <w:pPr>
        <w:ind w:left="720" w:hanging="360"/>
      </w:pPr>
    </w:lvl>
    <w:lvl w:ilvl="1" w:tplc="887EEC8C">
      <w:start w:val="1"/>
      <w:numFmt w:val="bullet"/>
      <w:lvlText w:val="○"/>
      <w:lvlJc w:val="left"/>
      <w:pPr>
        <w:ind w:left="1440" w:hanging="360"/>
      </w:pPr>
    </w:lvl>
    <w:lvl w:ilvl="2" w:tplc="51A0E09E">
      <w:start w:val="1"/>
      <w:numFmt w:val="bullet"/>
      <w:lvlText w:val="■"/>
      <w:lvlJc w:val="left"/>
      <w:pPr>
        <w:ind w:left="2160" w:hanging="360"/>
      </w:pPr>
    </w:lvl>
    <w:lvl w:ilvl="3" w:tplc="885837D2">
      <w:start w:val="1"/>
      <w:numFmt w:val="bullet"/>
      <w:lvlText w:val="●"/>
      <w:lvlJc w:val="left"/>
      <w:pPr>
        <w:ind w:left="2880" w:hanging="360"/>
      </w:pPr>
    </w:lvl>
    <w:lvl w:ilvl="4" w:tplc="00B6820A">
      <w:start w:val="1"/>
      <w:numFmt w:val="bullet"/>
      <w:lvlText w:val="○"/>
      <w:lvlJc w:val="left"/>
      <w:pPr>
        <w:ind w:left="3600" w:hanging="360"/>
      </w:pPr>
    </w:lvl>
    <w:lvl w:ilvl="5" w:tplc="488225FE">
      <w:start w:val="1"/>
      <w:numFmt w:val="bullet"/>
      <w:lvlText w:val="■"/>
      <w:lvlJc w:val="left"/>
      <w:pPr>
        <w:ind w:left="4320" w:hanging="360"/>
      </w:pPr>
    </w:lvl>
    <w:lvl w:ilvl="6" w:tplc="D10C3026">
      <w:start w:val="1"/>
      <w:numFmt w:val="bullet"/>
      <w:lvlText w:val="●"/>
      <w:lvlJc w:val="left"/>
      <w:pPr>
        <w:ind w:left="5040" w:hanging="360"/>
      </w:pPr>
    </w:lvl>
    <w:lvl w:ilvl="7" w:tplc="B10CA518">
      <w:start w:val="1"/>
      <w:numFmt w:val="bullet"/>
      <w:lvlText w:val="●"/>
      <w:lvlJc w:val="left"/>
      <w:pPr>
        <w:ind w:left="5760" w:hanging="360"/>
      </w:pPr>
    </w:lvl>
    <w:lvl w:ilvl="8" w:tplc="2F6E0F48">
      <w:start w:val="1"/>
      <w:numFmt w:val="bullet"/>
      <w:lvlText w:val="●"/>
      <w:lvlJc w:val="left"/>
      <w:pPr>
        <w:ind w:left="6480" w:hanging="360"/>
      </w:pPr>
    </w:lvl>
  </w:abstractNum>
  <w:num w:numId="1" w16cid:durableId="364602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7A"/>
    <w:rsid w:val="00243E3B"/>
    <w:rsid w:val="00377A7A"/>
    <w:rsid w:val="0042190A"/>
    <w:rsid w:val="00644DDA"/>
    <w:rsid w:val="00A428D7"/>
    <w:rsid w:val="00AA30B3"/>
    <w:rsid w:val="00C3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4289"/>
  <w15:docId w15:val="{1A12D041-2F64-4BF8-AFC6-179B7605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941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Cayo Leal Tarrago</cp:lastModifiedBy>
  <cp:revision>4</cp:revision>
  <dcterms:created xsi:type="dcterms:W3CDTF">2025-09-11T00:00:00Z</dcterms:created>
  <dcterms:modified xsi:type="dcterms:W3CDTF">2026-09-05T22:27:00Z</dcterms:modified>
</cp:coreProperties>
</file>