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dde395bbb6304527d909645fa67b1bc1024d1c"/>
    <w:p>
      <w:pPr>
        <w:pStyle w:val="Heading1"/>
      </w:pPr>
      <w:r>
        <w:t xml:space="preserve">Internal Research Brief: Common Misconceptions in CS1 (Python)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CTI Teaching Consultants Group</w:t>
      </w:r>
      <w:r>
        <w:t xml:space="preserve"> </w:t>
      </w:r>
      <w:r>
        <w:rPr>
          <w:bCs/>
          <w:b/>
        </w:rPr>
        <w:t xml:space="preserve">Basis:</w:t>
      </w:r>
      <w:r>
        <w:t xml:space="preserve"> </w:t>
      </w:r>
      <w:r>
        <w:t xml:space="preserve">coded review of ~500 graded CS1 assignments across the last 3 semesters,</w:t>
      </w:r>
      <w:r>
        <w:t xml:space="preserve"> </w:t>
      </w:r>
      <w:r>
        <w:t xml:space="preserve">cross-checked against the published literature on novice programming misconceptions</w:t>
      </w:r>
      <w:r>
        <w:t xml:space="preserve"> </w:t>
      </w:r>
      <w:r>
        <w:t xml:space="preserve">(e.g., work in the tradition of du Boulay’s</w:t>
      </w:r>
      <w:r>
        <w:t xml:space="preserve"> </w:t>
      </w:r>
      <w:r>
        <w:t xml:space="preserve">“</w:t>
      </w:r>
      <w:r>
        <w:t xml:space="preserve">genetic epistemology of programming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more recent empirical taxonomies such as Qian &amp; Lehman’s review of novice difficulties).</w:t>
      </w:r>
      <w:r>
        <w:t xml:space="preserve"> </w:t>
      </w:r>
      <w:r>
        <w:t xml:space="preserve">Percentages below are</w:t>
      </w:r>
      <w:r>
        <w:t xml:space="preserve"> </w:t>
      </w:r>
      <w:r>
        <w:rPr>
          <w:bCs/>
          <w:b/>
        </w:rPr>
        <w:t xml:space="preserve">our own coded frequency data</w:t>
      </w:r>
      <w:r>
        <w:t xml:space="preserve">, not taken from any external</w:t>
      </w:r>
      <w:r>
        <w:t xml:space="preserve"> </w:t>
      </w:r>
      <w:r>
        <w:t xml:space="preserve">study — they reflect the share of reviewed assignments in which TAs coded the error as</w:t>
      </w:r>
      <w:r>
        <w:t xml:space="preserve"> </w:t>
      </w:r>
      <w:r>
        <w:t xml:space="preserve">stemming from this specific misconception (not simply</w:t>
      </w:r>
      <w:r>
        <w:t xml:space="preserve"> </w:t>
      </w:r>
      <w:r>
        <w:t xml:space="preserve">“</w:t>
      </w:r>
      <w:r>
        <w:t xml:space="preserve">had a bug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Misconception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(of coded assignments)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Reassignment vs. mathematical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read</w:t>
            </w:r>
            <w:r>
              <w:t xml:space="preserve"> </w:t>
            </w:r>
            <w:r>
              <w:rPr>
                <w:rStyle w:val="VerbatimChar"/>
              </w:rPr>
              <w:t xml:space="preserve">x = x + 1</w:t>
            </w:r>
            <w:r>
              <w:t xml:space="preserve"> </w:t>
            </w:r>
            <w:r>
              <w:t xml:space="preserve">as an equation (</w:t>
            </w:r>
            <w:r>
              <w:t xml:space="preserve">“</w:t>
            </w:r>
            <w:r>
              <w:t xml:space="preserve">x can’t equal x+1</w:t>
            </w:r>
            <w:r>
              <w:t xml:space="preserve">”</w:t>
            </w:r>
            <w:r>
              <w:t xml:space="preserve">) rather than as</w:t>
            </w:r>
            <w:r>
              <w:t xml:space="preserve"> </w:t>
            </w:r>
            <w:r>
              <w:t xml:space="preserve">“</w:t>
            </w:r>
            <w:r>
              <w:t xml:space="preserve">update the value stored under the name x.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Off-by-one / boundary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bounds,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endpoints, and index arithmetic are consistently off by one, especially with</w:t>
            </w:r>
            <w:r>
              <w:t xml:space="preserve"> </w:t>
            </w:r>
            <w:r>
              <w:rPr>
                <w:rStyle w:val="VerbatimChar"/>
              </w:rPr>
              <w:t xml:space="preserve">range(len(list))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range(len(list)-1)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output vs. 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confuse a function that prints a value with one that returns it, then are surprised when</w:t>
            </w:r>
            <w:r>
              <w:t xml:space="preserve"> </w:t>
            </w:r>
            <w:r>
              <w:rPr>
                <w:rStyle w:val="VerbatimChar"/>
              </w:rPr>
              <w:t xml:space="preserve">result = my_func()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Local/global scope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assume a variable assigned inside a function is visible outside it, or vice versa, or attempt to mutate an outer variable without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/</w:t>
            </w:r>
            <w:r>
              <w:rPr>
                <w:rStyle w:val="VerbatimChar"/>
              </w:rPr>
              <w:t xml:space="preserve">nonlocal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 default arguments / aliasing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f(x, acc=[])</w:t>
            </w:r>
            <w:r>
              <w:t xml:space="preserve"> </w:t>
            </w:r>
            <w:r>
              <w:t xml:space="preserve">— students don’t realize the default list is created once and shared across calls; more broadly, confusion between</w:t>
            </w:r>
            <w:r>
              <w:t xml:space="preserve"> </w:t>
            </w:r>
            <w:r>
              <w:t xml:space="preserve">“</w:t>
            </w:r>
            <w:r>
              <w:t xml:space="preserve">same object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equal value</w:t>
            </w:r>
            <w:r>
              <w:t xml:space="preserve">”</w:t>
            </w:r>
            <w:r>
              <w:t xml:space="preserve"> </w:t>
            </w:r>
            <w:r>
              <w:t xml:space="preserve">for lists/dicts.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Recursion base case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functions written without a correct (or any) base case, or with a base case that’s unreachable given the recursive step.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logic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comparisons (</w:t>
            </w:r>
            <w:r>
              <w:rPr>
                <w:rStyle w:val="VerbatimChar"/>
              </w:rPr>
              <w:t xml:space="preserve">if x == True</w:t>
            </w:r>
            <w:r>
              <w:t xml:space="preserve">), incorrect negation of compound conditions (De Morgan’s errors), and confusing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  <w:r>
              <w:t xml:space="preserve">/</w:t>
            </w:r>
            <w:r>
              <w:rPr>
                <w:rStyle w:val="VerbatimChar"/>
              </w:rPr>
              <w:t xml:space="preserve">or</w:t>
            </w:r>
            <w:r>
              <w:t xml:space="preserve"> </w:t>
            </w:r>
            <w:r>
              <w:t xml:space="preserve">short-circuit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Floating-point 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floats with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and being surprised when</w:t>
            </w:r>
            <w:r>
              <w:t xml:space="preserve"> </w:t>
            </w:r>
            <w:r>
              <w:rPr>
                <w:rStyle w:val="VerbatimChar"/>
              </w:rPr>
              <w:t xml:space="preserve">0.1 + 0.2 == 0.3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</w:tbl>
    <w:p>
      <w:pPr>
        <w:pStyle w:val="BodyText"/>
      </w:pPr>
      <w:r>
        <w:rPr>
          <w:bCs/>
          <w:b/>
        </w:rPr>
        <w:t xml:space="preserve">Trend note:</w:t>
      </w:r>
      <w:r>
        <w:t xml:space="preserve"> </w:t>
      </w:r>
      <w:r>
        <w:t xml:space="preserve">Over the last two semesters (coinciding with wider student adoption of</w:t>
      </w:r>
      <w:r>
        <w:t xml:space="preserve"> </w:t>
      </w:r>
      <w:r>
        <w:t xml:space="preserve">AI coding assistants), TAs report a</w:t>
      </w:r>
      <w:r>
        <w:t xml:space="preserve"> </w:t>
      </w:r>
      <w:r>
        <w:rPr>
          <w:iCs/>
          <w:i/>
        </w:rPr>
        <w:t xml:space="preserve">qualitative</w:t>
      </w:r>
      <w:r>
        <w:t xml:space="preserve"> </w:t>
      </w:r>
      <w:r>
        <w:t xml:space="preserve">shift: the raw bug rate on submitted</w:t>
      </w:r>
      <w:r>
        <w:t xml:space="preserve"> </w:t>
      </w:r>
      <w:r>
        <w:t xml:space="preserve">assignments has gone down, but in office hours, students are markedly less able to</w:t>
      </w:r>
      <w:r>
        <w:t xml:space="preserve"> </w:t>
      </w:r>
      <w:r>
        <w:t xml:space="preserve">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fix someone (or something) suggested actually works — particularly for</w:t>
      </w:r>
      <w:r>
        <w:t xml:space="preserve"> </w:t>
      </w:r>
      <w:r>
        <w:t xml:space="preserve">categories 1, 4, and 5, which require a correct mental model of names/references rather</w:t>
      </w:r>
      <w:r>
        <w:t xml:space="preserve"> </w:t>
      </w:r>
      <w:r>
        <w:t xml:space="preserve">than surface-level syntax knowledge. Categories 2 and 3 remain the most frequent</w:t>
      </w:r>
      <w:r>
        <w:t xml:space="preserve"> </w:t>
      </w:r>
      <w:r>
        <w:rPr>
          <w:iCs/>
          <w:i/>
        </w:rPr>
        <w:t xml:space="preserve">first-encounter</w:t>
      </w:r>
      <w:r>
        <w:t xml:space="preserve"> </w:t>
      </w:r>
      <w:r>
        <w:t xml:space="preserve">misconceptions for students in the first four weeks of the course.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