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ask-overview-authors-notes"/>
    <w:p>
      <w:pPr>
        <w:pStyle w:val="Heading1"/>
      </w:pPr>
      <w:r>
        <w:t xml:space="preserve">Task Overview (Author’s Notes)</w:t>
      </w:r>
    </w:p>
    <w:p>
      <w:pPr>
        <w:pStyle w:val="FirstParagraph"/>
      </w:pPr>
      <w:r>
        <w:rPr>
          <w:bCs/>
          <w:b/>
        </w:rPr>
        <w:t xml:space="preserve">Task family:</w:t>
      </w:r>
      <w:r>
        <w:t xml:space="preserve"> </w:t>
      </w:r>
      <w:r>
        <w:t xml:space="preserve">Digital project management for computer science education</w:t>
      </w:r>
      <w:r>
        <w:t xml:space="preserve"> </w:t>
      </w:r>
      <w:r>
        <w:rPr>
          <w:bCs/>
          <w:b/>
        </w:rPr>
        <w:t xml:space="preserve">Domain synthesis:</w:t>
      </w:r>
      <w:r>
        <w:t xml:space="preserve"> </w:t>
      </w:r>
      <w:r>
        <w:t xml:space="preserve">novice-programmer misconceptions research, GenAI-in-education design guardrails, UX heuristics, low-stakes experiential learning</w:t>
      </w:r>
    </w:p>
    <w:bookmarkStart w:id="20" w:name="task-idea"/>
    <w:p>
      <w:pPr>
        <w:pStyle w:val="Heading2"/>
      </w:pPr>
      <w:r>
        <w:t xml:space="preserve">Task idea</w:t>
      </w:r>
    </w:p>
    <w:p>
      <w:pPr>
        <w:pStyle w:val="FirstParagraph"/>
      </w:pPr>
      <w:r>
        <w:t xml:space="preserve">A teaching-innovation office at a university wants to pilot a browser-based tool that</w:t>
      </w:r>
      <w:r>
        <w:t xml:space="preserve"> </w:t>
      </w:r>
      <w:r>
        <w:t xml:space="preserve">lets intro programming students get AI help on their bugs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the AI just handing</w:t>
      </w:r>
      <w:r>
        <w:t xml:space="preserve"> </w:t>
      </w:r>
      <w:r>
        <w:t xml:space="preserve">them fixed code — because faculty have noticed students pasting AI-generated fixes they</w:t>
      </w:r>
      <w:r>
        <w:t xml:space="preserve"> </w:t>
      </w:r>
      <w:r>
        <w:t xml:space="preserve">don’t understand, which entrenches rather than resolves classic CS1 misconceptions</w:t>
      </w:r>
      <w:r>
        <w:t xml:space="preserve"> </w:t>
      </w:r>
      <w:r>
        <w:t xml:space="preserve">(off-by-one errors, mutable-default-argument aliasing, scope confusion, etc.).</w:t>
      </w:r>
    </w:p>
    <w:p>
      <w:pPr>
        <w:pStyle w:val="BodyText"/>
      </w:pPr>
      <w:r>
        <w:t xml:space="preserve">The model being evaluated plays a</w:t>
      </w:r>
      <w:r>
        <w:t xml:space="preserve"> </w:t>
      </w:r>
      <w:r>
        <w:rPr>
          <w:bCs/>
          <w:b/>
        </w:rPr>
        <w:t xml:space="preserve">Digital Learning Experience Project Manager</w:t>
      </w:r>
      <w:r>
        <w:t xml:space="preserve"> </w:t>
      </w:r>
      <w:r>
        <w:t xml:space="preserve">who</w:t>
      </w:r>
      <w:r>
        <w:t xml:space="preserve"> </w:t>
      </w:r>
      <w:r>
        <w:t xml:space="preserve">must turn a packet of internal materials (a director’s memo with hard constraints, a</w:t>
      </w:r>
      <w:r>
        <w:t xml:space="preserve"> </w:t>
      </w:r>
      <w:r>
        <w:t xml:space="preserve">misconceptions research brief with frequency data, an audit of two prior tools that</w:t>
      </w:r>
      <w:r>
        <w:t xml:space="preserve"> </w:t>
      </w:r>
      <w:r>
        <w:t xml:space="preserve">failed, a student survey, and a UX heuristics reference sheet) into a single, coherent,</w:t>
      </w:r>
      <w:r>
        <w:t xml:space="preserve"> </w:t>
      </w:r>
      <w:r>
        <w:t xml:space="preserve">funding-ready</w:t>
      </w:r>
      <w:r>
        <w:t xml:space="preserve"> </w:t>
      </w:r>
      <w:r>
        <w:rPr>
          <w:bCs/>
          <w:b/>
        </w:rPr>
        <w:t xml:space="preserve">Project Design &amp; Pilot Plan</w:t>
      </w:r>
      <w:r>
        <w:t xml:space="preserve">.</w:t>
      </w:r>
    </w:p>
    <w:bookmarkEnd w:id="20"/>
    <w:bookmarkStart w:id="21" w:name="why-this-scenario"/>
    <w:p>
      <w:pPr>
        <w:pStyle w:val="Heading2"/>
      </w:pPr>
      <w:r>
        <w:t xml:space="preserve">Why this scenario</w:t>
      </w:r>
    </w:p>
    <w:p>
      <w:pPr>
        <w:pStyle w:val="FirstParagraph"/>
      </w:pPr>
      <w:r>
        <w:t xml:space="preserve">It naturally forces integration of all four of the stated interest areas: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Programming misconceptions</w:t>
      </w:r>
      <w:r>
        <w:t xml:space="preserve"> </w:t>
      </w:r>
      <w:r>
        <w:t xml:space="preserve">— the plan must prioritize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misconception</w:t>
      </w:r>
      <w:r>
        <w:t xml:space="preserve"> </w:t>
      </w:r>
      <w:r>
        <w:t xml:space="preserve">categories from real internal data, not generic</w:t>
      </w:r>
      <w:r>
        <w:t xml:space="preserve"> </w:t>
      </w:r>
      <w:r>
        <w:t xml:space="preserve">“</w:t>
      </w:r>
      <w:r>
        <w:t xml:space="preserve">students make mistakes</w:t>
      </w:r>
      <w:r>
        <w:t xml:space="preserve">”</w:t>
      </w:r>
      <w:r>
        <w:t xml:space="preserve"> </w:t>
      </w:r>
      <w:r>
        <w:t xml:space="preserve">language.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GenAI in education</w:t>
      </w:r>
      <w:r>
        <w:t xml:space="preserve"> </w:t>
      </w:r>
      <w:r>
        <w:t xml:space="preserve">— the plan must design a guardrail (Socratic questioning,</w:t>
      </w:r>
      <w:r>
        <w:t xml:space="preserve"> </w:t>
      </w:r>
      <w:r>
        <w:t xml:space="preserve">turn limits, no direct fixes) that prevents the exact over-reliance failure mode</w:t>
      </w:r>
      <w:r>
        <w:t xml:space="preserve"> </w:t>
      </w:r>
      <w:r>
        <w:t xml:space="preserve">documented in the prior-tools audit.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UX design principles</w:t>
      </w:r>
      <w:r>
        <w:t xml:space="preserve"> </w:t>
      </w:r>
      <w:r>
        <w:t xml:space="preserve">— the plan must apply</w:t>
      </w:r>
      <w:r>
        <w:t xml:space="preserve"> </w:t>
      </w:r>
      <w:r>
        <w:rPr>
          <w:iCs/>
          <w:i/>
        </w:rPr>
        <w:t xml:space="preserve">named</w:t>
      </w:r>
      <w:r>
        <w:t xml:space="preserve"> </w:t>
      </w:r>
      <w:r>
        <w:t xml:space="preserve">heuristics to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design decisions, not just assert the tool will be</w:t>
      </w:r>
      <w:r>
        <w:t xml:space="preserve"> </w:t>
      </w:r>
      <w:r>
        <w:t xml:space="preserve">“</w:t>
      </w:r>
      <w:r>
        <w:t xml:space="preserve">intuitive.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Low-stakes experiential learning</w:t>
      </w:r>
      <w:r>
        <w:t xml:space="preserve"> </w:t>
      </w:r>
      <w:r>
        <w:t xml:space="preserve">— the tool must remain explicitly ungraded and</w:t>
      </w:r>
      <w:r>
        <w:t xml:space="preserve"> </w:t>
      </w:r>
      <w:r>
        <w:t xml:space="preserve">voluntary, consistent with a (fictional) Faculty Senate AI policy, while still</w:t>
      </w:r>
      <w:r>
        <w:t xml:space="preserve"> </w:t>
      </w:r>
      <w:r>
        <w:t xml:space="preserve">driving real engagement (the prior in-house tool collapsed to 12% weekly active use</w:t>
      </w:r>
      <w:r>
        <w:t xml:space="preserve"> </w:t>
      </w:r>
      <w:r>
        <w:t xml:space="preserve">by week 3 — the new plan has to visibly avoid repeating that).</w:t>
      </w:r>
    </w:p>
    <w:bookmarkEnd w:id="21"/>
    <w:bookmarkStart w:id="22" w:name="what-makes-it-gradable"/>
    <w:p>
      <w:pPr>
        <w:pStyle w:val="Heading2"/>
      </w:pPr>
      <w:r>
        <w:t xml:space="preserve">What makes it gradable</w:t>
      </w:r>
    </w:p>
    <w:p>
      <w:pPr>
        <w:pStyle w:val="FirstParagraph"/>
      </w:pPr>
      <w:r>
        <w:t xml:space="preserve">The source packet embeds ~15 hard, checkable constraints (dollar figures, week counts,</w:t>
      </w:r>
      <w:r>
        <w:t xml:space="preserve"> </w:t>
      </w:r>
      <w:r>
        <w:t xml:space="preserve">staffing caps, a named vendor lock-in, a no-new-integrations IT moratorium, FERPA, a</w:t>
      </w:r>
      <w:r>
        <w:t xml:space="preserve"> </w:t>
      </w:r>
      <w:r>
        <w:t xml:space="preserve">non-punitive AI-use policy). A shallow answer will sound polished and cover the</w:t>
      </w:r>
      <w:r>
        <w:t xml:space="preserve"> </w:t>
      </w:r>
      <w:r>
        <w:t xml:space="preserve">“</w:t>
      </w:r>
      <w:r>
        <w:t xml:space="preserve">soft</w:t>
      </w:r>
      <w:r>
        <w:t xml:space="preserve">”</w:t>
      </w:r>
      <w:r>
        <w:t xml:space="preserve"> </w:t>
      </w:r>
      <w:r>
        <w:t xml:space="preserve">pedagogy/UX content well while quietly violating several of the operational constraints</w:t>
      </w:r>
      <w:r>
        <w:t xml:space="preserve"> </w:t>
      </w:r>
      <w:r>
        <w:t xml:space="preserve">(budget doesn’t sum, TA hours assigned during the wrong phase, proposes a new LTI</w:t>
      </w:r>
      <w:r>
        <w:t xml:space="preserve"> </w:t>
      </w:r>
      <w:r>
        <w:t xml:space="preserve">integration or a new LLM vendor, treats the survey completion incentive as touching</w:t>
      </w:r>
      <w:r>
        <w:t xml:space="preserve"> </w:t>
      </w:r>
      <w:r>
        <w:t xml:space="preserve">grades, etc.). This is what pulls fluent-but-shallow answers below the 80% gate.</w:t>
      </w:r>
    </w:p>
    <w:bookmarkEnd w:id="22"/>
    <w:bookmarkStart w:id="23" w:name="files-in-this-package"/>
    <w:p>
      <w:pPr>
        <w:pStyle w:val="Heading2"/>
      </w:pPr>
      <w:r>
        <w:t xml:space="preserve">Files in this package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source_materials/01_directors_memo.md</w:t>
      </w:r>
      <w:r>
        <w:t xml:space="preserve"> </w:t>
      </w:r>
      <w:r>
        <w:t xml:space="preserve">— the commissioning memo with all hard constraints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source_materials/02_misconception_research_brief.md</w:t>
      </w:r>
      <w:r>
        <w:t xml:space="preserve"> </w:t>
      </w:r>
      <w:r>
        <w:t xml:space="preserve">— internal misconception data (public/created)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source_materials/03_prior_tools_audit.md</w:t>
      </w:r>
      <w:r>
        <w:t xml:space="preserve"> </w:t>
      </w:r>
      <w:r>
        <w:t xml:space="preserve">— UX heuristic audit of two failed prior tools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source_materials/04_student_survey_results.md</w:t>
      </w:r>
      <w:r>
        <w:t xml:space="preserve"> </w:t>
      </w:r>
      <w:r>
        <w:t xml:space="preserve">— quantitative + qualitative survey data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source_materials/05_ux_heuristics_reference.md</w:t>
      </w:r>
      <w:r>
        <w:t xml:space="preserve"> </w:t>
      </w:r>
      <w:r>
        <w:t xml:space="preserve">— Nielsen’s 10 heuristics, given as reference only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task_prompt.md</w:t>
      </w:r>
      <w:r>
        <w:t xml:space="preserve"> </w:t>
      </w:r>
      <w:r>
        <w:t xml:space="preserve">— the exact prompt given to the model under evaluation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golden_answer.md</w:t>
      </w:r>
      <w:r>
        <w:t xml:space="preserve"> </w:t>
      </w:r>
      <w:r>
        <w:t xml:space="preserve">— the complete, professional reference solution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rubric.md</w:t>
      </w:r>
      <w:r>
        <w:t xml:space="preserve"> </w:t>
      </w:r>
      <w:r>
        <w:t xml:space="preserve">— the weighted evaluation rubric (15 criteria, weights sum to 100)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difficulty_and_gate.md</w:t>
      </w:r>
      <w:r>
        <w:t xml:space="preserve"> </w:t>
      </w:r>
      <w:r>
        <w:t xml:space="preserve">— what makes the task hard + the difficulty gate statement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2026-08-29T16:12:14Z</dcterms:created>
  <dcterms:modified xsi:type="dcterms:W3CDTF">2026-08-29T16:12:14Z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