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ifficulty-analysis-difficulty-gate"/>
    <w:p>
      <w:pPr>
        <w:pStyle w:val="Heading1"/>
      </w:pPr>
      <w:r>
        <w:t xml:space="preserve">Difficulty Analysis &amp; Difficulty Gate</w:t>
      </w:r>
    </w:p>
    <w:bookmarkStart w:id="20" w:name="what-makes-this-task-hard"/>
    <w:p>
      <w:pPr>
        <w:pStyle w:val="Heading2"/>
      </w:pPr>
      <w:r>
        <w:t xml:space="preserve">What makes this task hard</w:t>
      </w:r>
    </w:p>
    <w:p>
      <w:pPr>
        <w:pStyle w:val="FirstParagraph"/>
      </w:pPr>
      <w:r>
        <w:t xml:space="preserve">No single sub-skill in this task is individually difficult — a competent generalist</w:t>
      </w:r>
      <w:r>
        <w:t xml:space="preserve"> </w:t>
      </w:r>
      <w:r>
        <w:t xml:space="preserve">model can write plausible UX copy, list plausible risks, or summarize misconception</w:t>
      </w:r>
      <w:r>
        <w:t xml:space="preserve"> </w:t>
      </w:r>
      <w:r>
        <w:t xml:space="preserve">categories in isolation. The difficulty is in</w:t>
      </w:r>
      <w:r>
        <w:t xml:space="preserve"> </w:t>
      </w:r>
      <w:r>
        <w:rPr>
          <w:bCs/>
          <w:b/>
        </w:rPr>
        <w:t xml:space="preserve">simultaneous constraint satisfaction</w:t>
      </w:r>
      <w:r>
        <w:rPr>
          <w:bCs/>
          <w:b/>
        </w:rPr>
        <w:t xml:space="preserve"> </w:t>
      </w:r>
      <w:r>
        <w:rPr>
          <w:bCs/>
          <w:b/>
        </w:rPr>
        <w:t xml:space="preserve">across a long, internally cross-referenced professional document</w:t>
      </w:r>
      <w:r>
        <w:t xml:space="preserve">, combined with</w:t>
      </w:r>
      <w:r>
        <w:t xml:space="preserve"> </w:t>
      </w:r>
      <w:r>
        <w:t xml:space="preserve">resistance to several well-known LLM failure patterns: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Constraint load.</w:t>
      </w:r>
      <w:r>
        <w:t xml:space="preserve"> </w:t>
      </w:r>
      <w:r>
        <w:t xml:space="preserve">The director’s memo alone embeds 8 hard, independently</w:t>
      </w:r>
      <w:r>
        <w:t xml:space="preserve"> </w:t>
      </w:r>
      <w:r>
        <w:t xml:space="preserve">checkable constraints (budget cap, sub-cap on API spend, 6-week build window,</w:t>
      </w:r>
      <w:r>
        <w:t xml:space="preserve"> </w:t>
      </w:r>
      <w:r>
        <w:t xml:space="preserve">2-week pilot window, fixed vendor, no-new-integration mandate, TA hour/phase cap,</w:t>
      </w:r>
      <w:r>
        <w:t xml:space="preserve"> </w:t>
      </w:r>
      <w:r>
        <w:t xml:space="preserve">non-punitive policy) plus FERPA. A correct answer must hold all of them true</w:t>
      </w:r>
      <w:r>
        <w:t xml:space="preserve"> </w:t>
      </w:r>
      <w:r>
        <w:rPr>
          <w:iCs/>
          <w:i/>
        </w:rPr>
        <w:t xml:space="preserve">at</w:t>
      </w:r>
      <w:r>
        <w:rPr>
          <w:iCs/>
          <w:i/>
        </w:rPr>
        <w:t xml:space="preserve"> </w:t>
      </w:r>
      <w:r>
        <w:rPr>
          <w:iCs/>
          <w:i/>
        </w:rPr>
        <w:t xml:space="preserve">once</w:t>
      </w:r>
      <w:r>
        <w:t xml:space="preserve">, in a document with 9 different sections — a budget error in §6 or a TA</w:t>
      </w:r>
      <w:r>
        <w:t xml:space="preserve"> </w:t>
      </w:r>
      <w:r>
        <w:t xml:space="preserve">hour in §7 that’s inconsistent with §6’s timeline both count as failures, even if</w:t>
      </w:r>
      <w:r>
        <w:t xml:space="preserve"> </w:t>
      </w:r>
      <w:r>
        <w:t xml:space="preserve">every other section is excellent.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Resisting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solve the constraint away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reflex.</w:t>
      </w:r>
      <w:r>
        <w:t xml:space="preserve"> </w:t>
      </w:r>
      <w:r>
        <w:t xml:space="preserve">Models commonly respond to a</w:t>
      </w:r>
      <w:r>
        <w:t xml:space="preserve"> </w:t>
      </w:r>
      <w:r>
        <w:t xml:space="preserve">tight constraint by quietly proposing to lift it — e.g.,</w:t>
      </w:r>
      <w:r>
        <w:t xml:space="preserve"> </w:t>
      </w:r>
      <w:r>
        <w:t xml:space="preserve">“</w:t>
      </w:r>
      <w:r>
        <w:t xml:space="preserve">we recommend requesting</w:t>
      </w:r>
      <w:r>
        <w:t xml:space="preserve"> </w:t>
      </w:r>
      <w:r>
        <w:t xml:space="preserve">additional API budget,</w:t>
      </w:r>
      <w:r>
        <w:t xml:space="preserve">”</w:t>
      </w:r>
      <w:r>
        <w:t xml:space="preserve"> </w:t>
      </w:r>
      <w:r>
        <w:t xml:space="preserve">“</w:t>
      </w:r>
      <w:r>
        <w:t xml:space="preserve">IT should make an exception for this integration,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switching to a different, unnamed LLM vendor</w:t>
      </w:r>
      <w:r>
        <w:t xml:space="preserve"> </w:t>
      </w:r>
      <w:r>
        <w:t xml:space="preserve">“</w:t>
      </w:r>
      <w:r>
        <w:t xml:space="preserve">for better guardrail support.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task explicitly forbids this, but it is a strong default completion pattern.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Grounding vs. fabrication.</w:t>
      </w:r>
      <w:r>
        <w:t xml:space="preserve"> </w:t>
      </w:r>
      <w:r>
        <w:t xml:space="preserve">The task requires citing specific figures (42%, 38%,</w:t>
      </w:r>
      <w:r>
        <w:t xml:space="preserve"> </w:t>
      </w:r>
      <w:r>
        <w:t xml:space="preserve">68%, 12%, 18%, etc.) and specific named failures from the packet, not generic</w:t>
      </w:r>
      <w:r>
        <w:t xml:space="preserve"> </w:t>
      </w:r>
      <w:r>
        <w:t xml:space="preserve">pedagogical advice, and explicitly forbids inventing external statistics or</w:t>
      </w:r>
      <w:r>
        <w:t xml:space="preserve"> </w:t>
      </w:r>
      <w:r>
        <w:t xml:space="preserve">citations. Models often default to citing plausible-sounding external</w:t>
      </w:r>
      <w:r>
        <w:t xml:space="preserve"> </w:t>
      </w:r>
      <w:r>
        <w:t xml:space="preserve">“</w:t>
      </w:r>
      <w:r>
        <w:t xml:space="preserve">research</w:t>
      </w:r>
      <w:r>
        <w:t xml:space="preserve">”</w:t>
      </w:r>
      <w:r>
        <w:t xml:space="preserve"> </w:t>
      </w:r>
      <w:r>
        <w:t xml:space="preserve">instead of the specific internal packet data actually provided.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Non-superficial heuristic application.</w:t>
      </w:r>
      <w:r>
        <w:t xml:space="preserve"> </w:t>
      </w:r>
      <w:r>
        <w:t xml:space="preserve">It is easy to name Nielsen heuristics;</w:t>
      </w:r>
      <w:r>
        <w:t xml:space="preserve"> </w:t>
      </w:r>
      <w:r>
        <w:t xml:space="preserve">it is harder to tie each one to a specific, non-redundant design decision rather</w:t>
      </w:r>
      <w:r>
        <w:t xml:space="preserve"> </w:t>
      </w:r>
      <w:r>
        <w:t xml:space="preserve">than restating its definition next to an unrelated feature.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Arithmetic and scheduling consistency.</w:t>
      </w:r>
      <w:r>
        <w:t xml:space="preserve"> </w:t>
      </w:r>
      <w:r>
        <w:t xml:space="preserve">The budget must sum correctly to at or</w:t>
      </w:r>
      <w:r>
        <w:t xml:space="preserve"> </w:t>
      </w:r>
      <w:r>
        <w:t xml:space="preserve">under the cap with traceable line items, and the timeline must fit two different</w:t>
      </w:r>
      <w:r>
        <w:t xml:space="preserve"> </w:t>
      </w:r>
      <w:r>
        <w:t xml:space="preserve">fixed windows (6 weeks build, 2 weeks pilot) without any prerequisite (e.g., the</w:t>
      </w:r>
      <w:r>
        <w:t xml:space="preserve"> </w:t>
      </w:r>
      <w:r>
        <w:t xml:space="preserve">accessibility audit) scheduled after the thing it’s supposed to gate.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subtle stakes trap.</w:t>
      </w:r>
      <w:r>
        <w:t xml:space="preserve"> </w:t>
      </w:r>
      <w:r>
        <w:t xml:space="preserve">The survey data is intentionally mixed on gamification</w:t>
      </w:r>
      <w:r>
        <w:t xml:space="preserve"> </w:t>
      </w:r>
      <w:r>
        <w:t xml:space="preserve">(39% positive, 30% negative, explicit comments rejecting leaderboards) and on the</w:t>
      </w:r>
      <w:r>
        <w:t xml:space="preserve"> </w:t>
      </w:r>
      <w:r>
        <w:t xml:space="preserve">incentive question (60% want low-stakes practice; but a naive answer will attach the</w:t>
      </w:r>
      <w:r>
        <w:t xml:space="preserve"> </w:t>
      </w:r>
      <w:r>
        <w:t xml:space="preserve">$10 incentive to</w:t>
      </w:r>
      <w:r>
        <w:t xml:space="preserve"> </w:t>
      </w:r>
      <w:r>
        <w:rPr>
          <w:iCs/>
          <w:i/>
        </w:rPr>
        <w:t xml:space="preserve">tool usage</w:t>
      </w:r>
      <w:r>
        <w:t xml:space="preserve"> </w:t>
      </w:r>
      <w:r>
        <w:t xml:space="preserve">rather than</w:t>
      </w:r>
      <w:r>
        <w:t xml:space="preserve"> </w:t>
      </w:r>
      <w:r>
        <w:rPr>
          <w:iCs/>
          <w:i/>
        </w:rPr>
        <w:t xml:space="preserve">survey completion only</w:t>
      </w:r>
      <w:r>
        <w:t xml:space="preserve">, which would</w:t>
      </w:r>
      <w:r>
        <w:t xml:space="preserve"> </w:t>
      </w:r>
      <w:r>
        <w:t xml:space="preserve">quietly violate the</w:t>
      </w:r>
      <w:r>
        <w:t xml:space="preserve"> </w:t>
      </w:r>
      <w:r>
        <w:t xml:space="preserve">“</w:t>
      </w:r>
      <w:r>
        <w:t xml:space="preserve">participation must not affect grades/incentives in a way that</w:t>
      </w:r>
      <w:r>
        <w:t xml:space="preserve"> </w:t>
      </w:r>
      <w:r>
        <w:t xml:space="preserve">pressures engagement</w:t>
      </w:r>
      <w:r>
        <w:t xml:space="preserve">”</w:t>
      </w:r>
      <w:r>
        <w:t xml:space="preserve"> </w:t>
      </w:r>
      <w:r>
        <w:t xml:space="preserve">spirit of the Faculty-Senate constraint).</w:t>
      </w:r>
    </w:p>
    <w:p>
      <w:pPr>
        <w:pStyle w:val="FirstParagraph"/>
      </w:pPr>
      <w:r>
        <w:t xml:space="preserve">Because the rubric weights the</w:t>
      </w:r>
      <w:r>
        <w:t xml:space="preserve"> </w:t>
      </w:r>
      <w:r>
        <w:t xml:space="preserve">“</w:t>
      </w:r>
      <w:r>
        <w:t xml:space="preserve">hard constraint</w:t>
      </w:r>
      <w:r>
        <w:t xml:space="preserve">”</w:t>
      </w:r>
      <w:r>
        <w:t xml:space="preserve"> </w:t>
      </w:r>
      <w:r>
        <w:t xml:space="preserve">criteria (budget, timeline, vendor,</w:t>
      </w:r>
      <w:r>
        <w:t xml:space="preserve"> </w:t>
      </w:r>
      <w:r>
        <w:t xml:space="preserve">integration, TA hours, privacy/policy — criteria 6–11 and 15, 51 of 100 points) about</w:t>
      </w:r>
      <w:r>
        <w:t xml:space="preserve"> </w:t>
      </w:r>
      <w:r>
        <w:t xml:space="preserve">as heavily as the pedagogy/UX criteria, a response that is well-written and</w:t>
      </w:r>
      <w:r>
        <w:t xml:space="preserve"> </w:t>
      </w:r>
      <w:r>
        <w:t xml:space="preserve">pedagogically sound but drops even two or three of these operational constraints</w:t>
      </w:r>
      <w:r>
        <w:t xml:space="preserve"> </w:t>
      </w:r>
      <w:r>
        <w:t xml:space="preserve">lands well short of full marks, even though it would likely</w:t>
      </w:r>
      <w:r>
        <w:t xml:space="preserve"> </w:t>
      </w:r>
      <w:r>
        <w:t xml:space="preserve">“</w:t>
      </w:r>
      <w:r>
        <w:t xml:space="preserve">feel</w:t>
      </w:r>
      <w:r>
        <w:t xml:space="preserve">”</w:t>
      </w:r>
      <w:r>
        <w:t xml:space="preserve"> </w:t>
      </w:r>
      <w:r>
        <w:t xml:space="preserve">high-quality to a</w:t>
      </w:r>
      <w:r>
        <w:t xml:space="preserve"> </w:t>
      </w:r>
      <w:r>
        <w:t xml:space="preserve">non-expert reader.</w:t>
      </w:r>
    </w:p>
    <w:bookmarkEnd w:id="20"/>
    <w:bookmarkStart w:id="21" w:name="difficulty-gate"/>
    <w:p>
      <w:pPr>
        <w:pStyle w:val="Heading2"/>
      </w:pPr>
      <w:r>
        <w:t xml:space="preserve">Difficulty gate</w:t>
      </w:r>
    </w:p>
    <w:p>
      <w:pPr>
        <w:pStyle w:val="FirstParagraph"/>
      </w:pPr>
      <w:r>
        <w:rPr>
          <w:bCs/>
          <w:b/>
        </w:rPr>
        <w:t xml:space="preserve">Gate:</w:t>
      </w:r>
      <w:r>
        <w:t xml:space="preserve"> </w:t>
      </w:r>
      <w:r>
        <w:t xml:space="preserve">an expert-run result from GPT-5.5 on this task, graded against the rubric</w:t>
      </w:r>
      <w:r>
        <w:t xml:space="preserve"> </w:t>
      </w:r>
      <w:r>
        <w:t xml:space="preserve">above by a subject-matter-expert grader, should score</w:t>
      </w:r>
      <w:r>
        <w:t xml:space="preserve"> </w:t>
      </w:r>
      <w:r>
        <w:rPr>
          <w:bCs/>
          <w:b/>
        </w:rPr>
        <w:t xml:space="preserve">below 80%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Rationale for the gate:</w:t>
      </w:r>
      <w:r>
        <w:t xml:space="preserve"> </w:t>
      </w:r>
      <w:r>
        <w:t xml:space="preserve">the task is designed so that strong general writing and</w:t>
      </w:r>
      <w:r>
        <w:t xml:space="preserve"> </w:t>
      </w:r>
      <w:r>
        <w:t xml:space="preserve">domain knowledge are necessary but not sufficient — passing requires simultaneously</w:t>
      </w:r>
      <w:r>
        <w:t xml:space="preserve"> </w:t>
      </w:r>
      <w:r>
        <w:t xml:space="preserve">tracking ~15 independently checkable constraints across a 9-section document with no</w:t>
      </w:r>
      <w:r>
        <w:t xml:space="preserve"> </w:t>
      </w:r>
      <w:r>
        <w:t xml:space="preserve">internal contradictions. In practice, capable models reliably nail the pedagogy/UX/</w:t>
      </w:r>
      <w:r>
        <w:t xml:space="preserve"> </w:t>
      </w:r>
      <w:r>
        <w:t xml:space="preserve">risk narrative sections but drop 2–4 of the operational constraints (most often: budget</w:t>
      </w:r>
      <w:r>
        <w:t xml:space="preserve"> </w:t>
      </w:r>
      <w:r>
        <w:t xml:space="preserve">arithmetic/traceability, the vendor/integration constraints, or the TA phase</w:t>
      </w:r>
      <w:r>
        <w:t xml:space="preserve"> </w:t>
      </w:r>
      <w:r>
        <w:t xml:space="preserve">restriction), which under this rubric’s weighting is enough to fall below the 80%</w:t>
      </w:r>
      <w:r>
        <w:t xml:space="preserve"> </w:t>
      </w:r>
      <w:r>
        <w:t xml:space="preserve">threshold even with strong prose throughout. If an expert run scores ≥80%, the task</w:t>
      </w:r>
      <w:r>
        <w:t xml:space="preserve"> </w:t>
      </w:r>
      <w:r>
        <w:t xml:space="preserve">should be revised to tighten one or more constraints (e.g., a smaller budget cap</w:t>
      </w:r>
      <w:r>
        <w:t xml:space="preserve"> </w:t>
      </w:r>
      <w:r>
        <w:t xml:space="preserve">relative to itemized needs, or an additional cross-section dependency) until the gate</w:t>
      </w:r>
      <w:r>
        <w:t xml:space="preserve"> </w:t>
      </w:r>
      <w:r>
        <w:t xml:space="preserve">holds.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2026-08-29T16:12:14Z</dcterms:created>
  <dcterms:modified xsi:type="dcterms:W3CDTF">2026-08-29T16:12:14Z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