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valuation-rubric"/>
    <w:p>
      <w:pPr>
        <w:pStyle w:val="Heading1"/>
      </w:pPr>
      <w:r>
        <w:t xml:space="preserve">Evaluation Rubric</w:t>
      </w:r>
    </w:p>
    <w:p>
      <w:pPr>
        <w:pStyle w:val="FirstParagraph"/>
      </w:pPr>
      <w:r>
        <w:t xml:space="preserve">Weights sum to 100. Score each criterion 0–1 (0 for missing, 0.5 for partially there, and 1 for fully there), multiply by weight, sum.</w:t>
      </w:r>
      <w:r>
        <w:t xml:space="preserve"> </w:t>
      </w:r>
      <w:r>
        <w:t xml:space="preserve">“</w:t>
      </w:r>
      <w:r>
        <w:t xml:space="preserve">Cites/references</w:t>
      </w:r>
      <w:r>
        <w:t xml:space="preserve">”</w:t>
      </w:r>
      <w:r>
        <w:t xml:space="preserve"> </w:t>
      </w:r>
      <w:r>
        <w:t xml:space="preserve">requires a specific, checkable reference to the source packet —</w:t>
      </w:r>
      <w:r>
        <w:t xml:space="preserve"> </w:t>
      </w:r>
      <w:r>
        <w:t xml:space="preserve">generic restatement without the underlying data/number/name does not satisfy a</w:t>
      </w:r>
      <w:r>
        <w:t xml:space="preserve"> </w:t>
      </w:r>
      <w:r>
        <w:t xml:space="preserve">criterion that requires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full credit requires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as its own section, ≤200 words, and accurately previews every other section (timeline, budget figure, vendor/integration constraints, evaluation approach) without introducing claims absent from the rest of the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Misconception prioritization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≥4 of the 8 categories from the research brief by name/description, uses the frequency data (or the brief’s trend note) to justify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those specific categories were prioritized over the others — not just a list of all 8 with no selection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Prior-tool lessons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a specific failure from at least one of CodeFix AI or DebugBuddy (e.g., silent fixes, no base case for diagnosis, engagement collapse, FERPA transcript issue), ties it to a named heuristic or concrete metric from the audit, and explains concretely how the new design avoids repeating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concept &amp; IA concreteness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a specific information architecture or interaction flow (nameable screens/steps a reviewer could picture and later wireframe) — not only adjectives like</w:t>
            </w:r>
            <w:r>
              <w:t xml:space="preserve"> </w:t>
            </w:r>
            <w:r>
              <w:t xml:space="preserve">“</w:t>
            </w:r>
            <w:r>
              <w:t xml:space="preserve">intuitive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engaging.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heuristics applied concretely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≥3 distinct Nielsen heuristics from the reference sheet and ties each to a specific design decision in the tool (not a bare restatement of the heuristic’s definition).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 guardrail: no direct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designs a mechanism preventing the tool from returning a fixed/corrected code block (e.g., Socratic questioning, turn limits, output filtering), and explicitly connects this to preventing the over-reliance failure mode documented in the prior-tools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containment &amp; vendor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ties a cost-control mechanism (rate limiting, tiered model use, caching, or equivalent) to the stated $500/month cap, and uses only the contracted/existing LLM vendor — does not propose a new vendor or additional API budget.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new LTI/LMS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designs the tool as a standalone web app reached via a link with university SSO, and does not propose an LMS plugin, LTI launch, or new integration with the LMS.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build timeline with distinct weekly milestones fitting within 6 weeks, plus a separate 2-week pilot window, with no internal contradiction (e.g., an accessibility audit or other prerequisite scheduled after the launch it’s supposed to gate).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itemization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is broken into line items, the stated total is ≤$8,000, arithmetic is correct, and every line item is traceable to a role/task described elsewhere in the plan (no unexplained or orphan costs).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constraint respected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involvement is capped at ≤2 hours/week per TA and occurs only during the pilot window, not the 6-week build 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≥4 distinct, plausible risks (not generic</w:t>
            </w:r>
            <w:r>
              <w:t xml:space="preserve"> </w:t>
            </w:r>
            <w:r>
              <w:t xml:space="preserve">“</w:t>
            </w:r>
            <w:r>
              <w:t xml:space="preserve">something could go wrong</w:t>
            </w:r>
            <w:r>
              <w:t xml:space="preserve">”</w:t>
            </w:r>
            <w:r>
              <w:t xml:space="preserve">), each with an assessed likelihood/impact and a concrete, specific mitigation.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≥2 distinct learning-outcome metrics and ≥2 distinct engagement/UX metrics, each with a stated data-collection method, and explicitly states that no metric affects student grades.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&amp;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a concrete accessibility target (e.g., WCAG 2.1 AA) and addresses at least one equity consideration grounded in the survey data (e.g., low-bandwidth access, opt-out of gamification).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&amp; policy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 FERPA-relevant data handling (e.g., anonymization, retention limit) for logged interactions, and explicitly upholds the Faculty Senate’s non-punitive/disclosure requirement (participation/non-participation does not affect grades; tool is not a substitute for the graded-work AI-disclosure policy).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100</w:t>
      </w:r>
    </w:p>
    <w:bookmarkStart w:id="20" w:name="scoring-notes-for-graders"/>
    <w:p>
      <w:pPr>
        <w:pStyle w:val="Heading2"/>
      </w:pPr>
      <w:r>
        <w:t xml:space="preserve">Scoring notes for graders</w:t>
      </w:r>
    </w:p>
    <w:p>
      <w:pPr>
        <w:numPr>
          <w:ilvl w:val="0"/>
          <w:numId w:val="1001"/>
        </w:numPr>
        <w:pStyle w:val="Compact"/>
      </w:pPr>
      <w:r>
        <w:t xml:space="preserve">A response that satisfies the</w:t>
      </w:r>
      <w:r>
        <w:t xml:space="preserve"> </w:t>
      </w:r>
      <w:r>
        <w:t xml:space="preserve">“</w:t>
      </w:r>
      <w:r>
        <w:t xml:space="preserve">soft</w:t>
      </w:r>
      <w:r>
        <w:t xml:space="preserve">”</w:t>
      </w:r>
      <w:r>
        <w:t xml:space="preserve"> </w:t>
      </w:r>
      <w:r>
        <w:t xml:space="preserve">pedagogy/UX criteria (2–5, 12–14) well but</w:t>
      </w:r>
      <w:r>
        <w:t xml:space="preserve"> </w:t>
      </w:r>
      <w:r>
        <w:t xml:space="preserve">silently violates one or more hard operational constraints (6–11, 15) — e.g., an</w:t>
      </w:r>
      <w:r>
        <w:t xml:space="preserve"> </w:t>
      </w:r>
      <w:r>
        <w:t xml:space="preserve">over-budget or unitemized budget, a timeline that doesn’t fit 6 weeks, TA hours</w:t>
      </w:r>
      <w:r>
        <w:t xml:space="preserve"> </w:t>
      </w:r>
      <w:r>
        <w:t xml:space="preserve">assigned during the build phase, a new LTI integration, or a new LLM vendor — should</w:t>
      </w:r>
      <w:r>
        <w:t xml:space="preserve"> </w:t>
      </w:r>
      <w:r>
        <w:t xml:space="preserve">lose full credit on each violated criterion regardless of overall polish. These</w:t>
      </w:r>
      <w:r>
        <w:t xml:space="preserve"> </w:t>
      </w:r>
      <w:r>
        <w:t xml:space="preserve">constraint violations are the primary intended discriminator between fluent-but-</w:t>
      </w:r>
      <w:r>
        <w:t xml:space="preserve"> </w:t>
      </w:r>
      <w:r>
        <w:t xml:space="preserve">shallow and genuinely correct responses.</w:t>
      </w:r>
    </w:p>
    <w:p>
      <w:pPr>
        <w:numPr>
          <w:ilvl w:val="0"/>
          <w:numId w:val="1001"/>
        </w:numPr>
        <w:pStyle w:val="Compact"/>
      </w:pPr>
      <w:r>
        <w:t xml:space="preserve">Criteria 2, 3, 5, and 6 require a</w:t>
      </w:r>
      <w:r>
        <w:t xml:space="preserve"> </w:t>
      </w:r>
      <w:r>
        <w:rPr>
          <w:iCs/>
          <w:i/>
        </w:rPr>
        <w:t xml:space="preserve">specific, checkable</w:t>
      </w:r>
      <w:r>
        <w:t xml:space="preserve"> </w:t>
      </w:r>
      <w:r>
        <w:t xml:space="preserve">tie back to the source</w:t>
      </w:r>
      <w:r>
        <w:t xml:space="preserve"> </w:t>
      </w:r>
      <w:r>
        <w:t xml:space="preserve">packet (a named category, a named heuristic, a named prior-tool failure). Vague or</w:t>
      </w:r>
      <w:r>
        <w:t xml:space="preserve"> </w:t>
      </w:r>
      <w:r>
        <w:t xml:space="preserve">generic references without the specific supporting detail should receive partial</w:t>
      </w:r>
      <w:r>
        <w:t xml:space="preserve"> </w:t>
      </w:r>
      <w:r>
        <w:t xml:space="preserve">(not full) credit.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2026-08-29T16:12:15Z</dcterms:created>
  <dcterms:modified xsi:type="dcterms:W3CDTF">2026-08-29T16:12:15Z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