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Cs/>
          <w:b/>
        </w:rPr>
        <w:t xml:space="preserve">Center for Teaching Innovation (CTI) — Ashgrove University</w:t>
      </w:r>
    </w:p>
    <w:p>
      <w:pPr>
        <w:pStyle w:val="BodyText"/>
      </w:pPr>
      <w:r>
        <w:rPr>
          <w:bCs/>
          <w:b/>
        </w:rPr>
        <w:t xml:space="preserve">To:</w:t>
      </w:r>
      <w:r>
        <w:t xml:space="preserve"> </w:t>
      </w:r>
      <w:r>
        <w:t xml:space="preserve">Digital Learning Experience Project Manager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Dr. Elena Vasquez, Director, Center for Teaching Innovation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September 2, [current academic year]</w:t>
      </w:r>
      <w:r>
        <w:t xml:space="preserve"> </w:t>
      </w:r>
      <w:r>
        <w:rPr>
          <w:bCs/>
          <w:b/>
        </w:rPr>
        <w:t xml:space="preserve">Re:</w:t>
      </w:r>
      <w:r>
        <w:t xml:space="preserve"> </w:t>
      </w:r>
      <w:r>
        <w:t xml:space="preserve">Pilot project — low-stakes GenAI practice tool for CS1 misconception remediation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Thanks for taking this on. Following up on our conversation, here’s the brief and the</w:t>
      </w:r>
      <w:r>
        <w:t xml:space="preserve"> </w:t>
      </w:r>
      <w:r>
        <w:t xml:space="preserve">constraints I need you to design inside — the Associate Dean is releasing Innovation</w:t>
      </w:r>
      <w:r>
        <w:t xml:space="preserve"> </w:t>
      </w:r>
      <w:r>
        <w:t xml:space="preserve">Fund money for this, but only against a plan that respects all of the following.</w:t>
      </w:r>
    </w:p>
    <w:p>
      <w:pPr>
        <w:pStyle w:val="BodyText"/>
      </w:pPr>
      <w:r>
        <w:rPr>
          <w:bCs/>
          <w:b/>
        </w:rPr>
        <w:t xml:space="preserve">Background.</w:t>
      </w:r>
      <w:r>
        <w:t xml:space="preserve"> </w:t>
      </w:r>
      <w:r>
        <w:t xml:space="preserve">Prof. Okafor and the CS1 teaching team have flagged a pattern in TA</w:t>
      </w:r>
      <w:r>
        <w:t xml:space="preserve"> </w:t>
      </w:r>
      <w:r>
        <w:t xml:space="preserve">grading logs and office hours: students are pasting code from AI assistants into</w:t>
      </w:r>
      <w:r>
        <w:t xml:space="preserve"> </w:t>
      </w:r>
      <w:r>
        <w:t xml:space="preserve">their assignments faster than they’re learning to reason about it, and the specific</w:t>
      </w:r>
      <w:r>
        <w:t xml:space="preserve"> </w:t>
      </w:r>
      <w:r>
        <w:t xml:space="preserve">bugs that result track closely onto the misconception categories our teaching</w:t>
      </w:r>
      <w:r>
        <w:t xml:space="preserve"> </w:t>
      </w:r>
      <w:r>
        <w:t xml:space="preserve">consultants have documented for years (see the research brief separately). We tried</w:t>
      </w:r>
      <w:r>
        <w:t xml:space="preserve"> </w:t>
      </w:r>
      <w:r>
        <w:t xml:space="preserve">an in-house fix last year (</w:t>
      </w:r>
      <w:r>
        <w:t xml:space="preserve">“</w:t>
      </w:r>
      <w:r>
        <w:t xml:space="preserve">DebugBuddy</w:t>
      </w:r>
      <w:r>
        <w:t xml:space="preserve">”</w:t>
      </w:r>
      <w:r>
        <w:t xml:space="preserve">) and it didn’t work — I’ve asked the UX team</w:t>
      </w:r>
      <w:r>
        <w:t xml:space="preserve"> </w:t>
      </w:r>
      <w:r>
        <w:t xml:space="preserve">to write up why. I don’t want to repeat that mistake.</w:t>
      </w:r>
    </w:p>
    <w:p>
      <w:pPr>
        <w:pStyle w:val="BodyText"/>
      </w:pPr>
      <w:r>
        <w:rPr>
          <w:bCs/>
          <w:b/>
        </w:rPr>
        <w:t xml:space="preserve">What I need from you:</w:t>
      </w:r>
      <w:r>
        <w:t xml:space="preserve"> </w:t>
      </w:r>
      <w:r>
        <w:t xml:space="preserve">a single Project Design &amp; Pilot Plan document I can hand to</w:t>
      </w:r>
      <w:r>
        <w:t xml:space="preserve"> </w:t>
      </w:r>
      <w:r>
        <w:t xml:space="preserve">the Associate Dean, covering the problem, the tool concept, the GenAI guardrails, the</w:t>
      </w:r>
      <w:r>
        <w:t xml:space="preserve"> </w:t>
      </w:r>
      <w:r>
        <w:t xml:space="preserve">build/pilot timeline, the budget, the risks, and how we’ll know if it worked.</w:t>
      </w:r>
    </w:p>
    <w:p>
      <w:pPr>
        <w:pStyle w:val="BodyText"/>
      </w:pPr>
      <w:r>
        <w:rPr>
          <w:bCs/>
          <w:b/>
        </w:rPr>
        <w:t xml:space="preserve">Hard constraints — please respect all of these: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$8,000 total, one-time, from the CTI Innovation Fund. It does not renew</w:t>
      </w:r>
      <w:r>
        <w:t xml:space="preserve"> </w:t>
      </w:r>
      <w:r>
        <w:t xml:space="preserve">next term unless the pilot succeeds. I need it itemized — the Associate Dean will</w:t>
      </w:r>
      <w:r>
        <w:t xml:space="preserve"> </w:t>
      </w:r>
      <w:r>
        <w:t xml:space="preserve">ask what each line pays for.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the tool must be built and ready to launch</w:t>
      </w:r>
      <w:r>
        <w:t xml:space="preserve"> </w:t>
      </w:r>
      <w:r>
        <w:rPr>
          <w:bCs/>
          <w:b/>
        </w:rPr>
        <w:t xml:space="preserve">within 6 weeks</w:t>
      </w:r>
      <w:r>
        <w:t xml:space="preserve"> </w:t>
      </w:r>
      <w:r>
        <w:t xml:space="preserve">of</w:t>
      </w:r>
      <w:r>
        <w:t xml:space="preserve"> </w:t>
      </w:r>
      <w:r>
        <w:t xml:space="preserve">kickoff. We want it live before the Week 8 midterm point of the fall term.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Pilot scope:</w:t>
      </w:r>
      <w:r>
        <w:t xml:space="preserve"> </w:t>
      </w:r>
      <w:r>
        <w:t xml:space="preserve">a 2-week voluntary pilot in CS1</w:t>
      </w:r>
      <w:r>
        <w:t xml:space="preserve"> </w:t>
      </w:r>
      <w:r>
        <w:t xml:space="preserve">“</w:t>
      </w:r>
      <w:r>
        <w:t xml:space="preserve">Introduction to Programming with</w:t>
      </w:r>
      <w:r>
        <w:t xml:space="preserve"> </w:t>
      </w:r>
      <w:r>
        <w:t xml:space="preserve">Python,</w:t>
      </w:r>
      <w:r>
        <w:t xml:space="preserve">”</w:t>
      </w:r>
      <w:r>
        <w:t xml:space="preserve"> </w:t>
      </w:r>
      <w:r>
        <w:t xml:space="preserve">Section 2 (~45 students). Prof. Okafor has already agreed to this section.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new LMS/LTI integration.</w:t>
      </w:r>
      <w:r>
        <w:t xml:space="preserve"> </w:t>
      </w:r>
      <w:r>
        <w:t xml:space="preserve">University IT has a moratorium on new LTI</w:t>
      </w:r>
      <w:r>
        <w:t xml:space="preserve"> </w:t>
      </w:r>
      <w:r>
        <w:t xml:space="preserve">integrations this term — they simply don’t have the review bandwidth. Whatever we</w:t>
      </w:r>
      <w:r>
        <w:t xml:space="preserve"> </w:t>
      </w:r>
      <w:r>
        <w:t xml:space="preserve">build has to be a</w:t>
      </w:r>
      <w:r>
        <w:t xml:space="preserve"> </w:t>
      </w:r>
      <w:r>
        <w:rPr>
          <w:bCs/>
          <w:b/>
        </w:rPr>
        <w:t xml:space="preserve">standalone web app</w:t>
      </w:r>
      <w:r>
        <w:t xml:space="preserve"> </w:t>
      </w:r>
      <w:r>
        <w:t xml:space="preserve">students reach via a link, authenticated</w:t>
      </w:r>
      <w:r>
        <w:t xml:space="preserve"> </w:t>
      </w:r>
      <w:r>
        <w:t xml:space="preserve">with university SSO. Do not propose an LMS plugin or LTI launch.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GenAI vendor is fixed.</w:t>
      </w:r>
      <w:r>
        <w:t xml:space="preserve"> </w:t>
      </w:r>
      <w:r>
        <w:t xml:space="preserve">We must use the university’s existing enterprise LLM</w:t>
      </w:r>
      <w:r>
        <w:t xml:space="preserve"> </w:t>
      </w:r>
      <w:r>
        <w:t xml:space="preserve">agreement (referred to below as</w:t>
      </w:r>
      <w:r>
        <w:t xml:space="preserve"> </w:t>
      </w:r>
      <w:r>
        <w:t xml:space="preserve">“</w:t>
      </w:r>
      <w:r>
        <w:t xml:space="preserve">the contracted provider</w:t>
      </w:r>
      <w:r>
        <w:t xml:space="preserve">”</w:t>
      </w:r>
      <w:r>
        <w:t xml:space="preserve">). CTI already has a</w:t>
      </w:r>
      <w:r>
        <w:t xml:space="preserve"> </w:t>
      </w:r>
      <w:r>
        <w:t xml:space="preserve">shared API budget line for this provider capped at</w:t>
      </w:r>
      <w:r>
        <w:t xml:space="preserve"> </w:t>
      </w:r>
      <w:r>
        <w:rPr>
          <w:bCs/>
          <w:b/>
        </w:rPr>
        <w:t xml:space="preserve">$500/month</w:t>
      </w:r>
      <w:r>
        <w:t xml:space="preserve">, and we cannot</w:t>
      </w:r>
      <w:r>
        <w:t xml:space="preserve"> </w:t>
      </w:r>
      <w:r>
        <w:t xml:space="preserve">request additional API funds or a different vendor this fiscal year.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 time is essentially zero.</w:t>
      </w:r>
      <w:r>
        <w:t xml:space="preserve"> </w:t>
      </w:r>
      <w:r>
        <w:t xml:space="preserve">The two TAs on CS1 are fully committed to grading.</w:t>
      </w:r>
      <w:r>
        <w:t xml:space="preserve"> </w:t>
      </w:r>
      <w:r>
        <w:t xml:space="preserve">They can give</w:t>
      </w:r>
      <w:r>
        <w:t xml:space="preserve"> </w:t>
      </w:r>
      <w:r>
        <w:rPr>
          <w:bCs/>
          <w:b/>
        </w:rPr>
        <w:t xml:space="preserve">at most 2 hours per week each</w:t>
      </w:r>
      <w:r>
        <w:t xml:space="preserve">, and only</w:t>
      </w:r>
      <w:r>
        <w:t xml:space="preserve"> </w:t>
      </w:r>
      <w:r>
        <w:rPr>
          <w:bCs/>
          <w:b/>
        </w:rPr>
        <w:t xml:space="preserve">during the 2-week pilot</w:t>
      </w:r>
      <w:r>
        <w:rPr>
          <w:bCs/>
          <w:b/>
        </w:rPr>
        <w:t xml:space="preserve"> </w:t>
      </w:r>
      <w:r>
        <w:rPr>
          <w:bCs/>
          <w:b/>
        </w:rPr>
        <w:t xml:space="preserve">window</w:t>
      </w:r>
      <w:r>
        <w:t xml:space="preserve"> </w:t>
      </w:r>
      <w:r>
        <w:t xml:space="preserve">— not during the 6-week build phase. Don’t plan on TA effort before then.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must stay genuinely low-stakes.</w:t>
      </w:r>
      <w:r>
        <w:t xml:space="preserve"> </w:t>
      </w:r>
      <w:r>
        <w:t xml:space="preserve">The Faculty Senate passed an</w:t>
      </w:r>
      <w:r>
        <w:t xml:space="preserve"> </w:t>
      </w:r>
      <w:r>
        <w:t xml:space="preserve">“</w:t>
      </w:r>
      <w:r>
        <w:t xml:space="preserve">AI-Assisted</w:t>
      </w:r>
      <w:r>
        <w:t xml:space="preserve"> </w:t>
      </w:r>
      <w:r>
        <w:t xml:space="preserve">Learning</w:t>
      </w:r>
      <w:r>
        <w:t xml:space="preserve">”</w:t>
      </w:r>
      <w:r>
        <w:t xml:space="preserve"> </w:t>
      </w:r>
      <w:r>
        <w:t xml:space="preserve">policy last month: any AI tool used with students must clearly disclose</w:t>
      </w:r>
      <w:r>
        <w:t xml:space="preserve"> </w:t>
      </w:r>
      <w:r>
        <w:t xml:space="preserve">that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substitute for the department’s academic-integrity/AI-disclosure</w:t>
      </w:r>
      <w:r>
        <w:t xml:space="preserve"> </w:t>
      </w:r>
      <w:r>
        <w:t xml:space="preserve">policy on graded work, and participation or non-participation</w:t>
      </w:r>
      <w:r>
        <w:t xml:space="preserve"> </w:t>
      </w:r>
      <w:r>
        <w:rPr>
          <w:bCs/>
          <w:b/>
        </w:rPr>
        <w:t xml:space="preserve">must not affect</w:t>
      </w:r>
      <w:r>
        <w:rPr>
          <w:bCs/>
          <w:b/>
        </w:rPr>
        <w:t xml:space="preserve"> </w:t>
      </w:r>
      <w:r>
        <w:rPr>
          <w:bCs/>
          <w:b/>
        </w:rPr>
        <w:t xml:space="preserve">grades</w:t>
      </w:r>
      <w:r>
        <w:t xml:space="preserve"> </w:t>
      </w:r>
      <w:r>
        <w:t xml:space="preserve">in any way, direct or indirect.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FERPA applies.</w:t>
      </w:r>
      <w:r>
        <w:t xml:space="preserve"> </w:t>
      </w:r>
      <w:r>
        <w:t xml:space="preserve">Any student interaction data we log needs a privacy/retention</w:t>
      </w:r>
      <w:r>
        <w:t xml:space="preserve"> </w:t>
      </w:r>
      <w:r>
        <w:t xml:space="preserve">story we can defend if asked.</w:t>
      </w:r>
    </w:p>
    <w:p>
      <w:pPr>
        <w:pStyle w:val="FirstParagraph"/>
      </w:pPr>
      <w:r>
        <w:t xml:space="preserve">I’d like the plan to read as something we could actually greenlight next week — not a</w:t>
      </w:r>
      <w:r>
        <w:t xml:space="preserve"> </w:t>
      </w:r>
      <w:r>
        <w:t xml:space="preserve">vision statement. Please ground the misconception targeting and the tool design in the</w:t>
      </w:r>
      <w:r>
        <w:t xml:space="preserve"> </w:t>
      </w:r>
      <w:r>
        <w:t xml:space="preserve">attached materials (research brief, prior-tools audit, student survey, UX heuristics</w:t>
      </w:r>
      <w:r>
        <w:t xml:space="preserve"> </w:t>
      </w:r>
      <w:r>
        <w:t xml:space="preserve">sheet) rather than starting from scratch.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Elena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2026-08-29T16:12:15Z</dcterms:created>
  <dcterms:modified xsi:type="dcterms:W3CDTF">2026-08-29T16:12:15Z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