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bCs w:val="1"/>
        </w:rPr>
      </w:pPr>
      <w:bookmarkStart w:colFirst="0" w:colLast="0" w:name="_hx470nb5mm6a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>
          <w:b w:val="1"/>
          <w:bCs w:val="1"/>
        </w:rPr>
      </w:pPr>
      <w:bookmarkStart w:colFirst="0" w:colLast="0" w:name="_v4avn0z1obw4" w:id="1"/>
      <w:bookmarkEnd w:id="1"/>
      <w:r w:rsidDel="00000000" w:rsidR="00000000" w:rsidRPr="00000000">
        <w:rPr>
          <w:b w:val="1"/>
          <w:bCs w:val="1"/>
          <w:rtl w:val="0"/>
        </w:rPr>
        <w:t xml:space="preserve">BACKLOG PRIORIZADO DEL PRODUCTO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line="360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line="360" w:lineRule="auto"/>
        <w:jc w:val="righ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Proyecto APT – Fase 2</w:t>
      </w:r>
    </w:p>
    <w:p w:rsidR="00000000" w:rsidDel="00000000" w:rsidP="00000000" w:rsidRDefault="00000000" w:rsidRPr="00000000" w14:paraId="00000018">
      <w:pPr>
        <w:spacing w:after="200" w:line="360" w:lineRule="auto"/>
        <w:jc w:val="righ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Asignatura:</w:t>
      </w:r>
      <w:r w:rsidDel="00000000" w:rsidR="00000000" w:rsidRPr="00000000">
        <w:rPr>
          <w:sz w:val="24"/>
          <w:szCs w:val="24"/>
          <w:rtl w:val="0"/>
        </w:rPr>
        <w:t xml:space="preserve"> Capstone (PTY4614_002D)</w:t>
      </w:r>
    </w:p>
    <w:p w:rsidR="00000000" w:rsidDel="00000000" w:rsidP="00000000" w:rsidRDefault="00000000" w:rsidRPr="00000000" w14:paraId="00000019">
      <w:pPr>
        <w:spacing w:after="200" w:line="360" w:lineRule="auto"/>
        <w:jc w:val="righ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Equipo:</w:t>
      </w:r>
      <w:r w:rsidDel="00000000" w:rsidR="00000000" w:rsidRPr="00000000">
        <w:rPr>
          <w:sz w:val="24"/>
          <w:szCs w:val="24"/>
          <w:rtl w:val="0"/>
        </w:rPr>
        <w:t xml:space="preserve"> Fernanda Monsalve Luco - Matías Gutierrez</w:t>
      </w:r>
    </w:p>
    <w:p w:rsidR="00000000" w:rsidDel="00000000" w:rsidP="00000000" w:rsidRDefault="00000000" w:rsidRPr="00000000" w14:paraId="0000001A">
      <w:pPr>
        <w:spacing w:after="200" w:line="360" w:lineRule="auto"/>
        <w:jc w:val="righ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Fecha: </w:t>
      </w:r>
      <w:r w:rsidDel="00000000" w:rsidR="00000000" w:rsidRPr="00000000">
        <w:rPr>
          <w:sz w:val="24"/>
          <w:szCs w:val="24"/>
          <w:rtl w:val="0"/>
        </w:rPr>
        <w:t xml:space="preserve">06 de noviembre de 2025</w:t>
      </w:r>
    </w:p>
    <w:p w:rsidR="00000000" w:rsidDel="00000000" w:rsidP="00000000" w:rsidRDefault="00000000" w:rsidRPr="00000000" w14:paraId="0000001B">
      <w:pPr>
        <w:spacing w:after="200" w:line="360" w:lineRule="auto"/>
        <w:jc w:val="righ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Metodología: </w:t>
      </w:r>
      <w:r w:rsidDel="00000000" w:rsidR="00000000" w:rsidRPr="00000000">
        <w:rPr>
          <w:sz w:val="24"/>
          <w:szCs w:val="24"/>
          <w:rtl w:val="0"/>
        </w:rPr>
        <w:t xml:space="preserve">Scrum (sprints semanales)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Title"/>
        <w:rPr/>
      </w:pPr>
      <w:bookmarkStart w:colFirst="0" w:colLast="0" w:name="_vy9v5x9d0bc2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dt>
      <w:sdtPr>
        <w:id w:val="-41008836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7c2fsmpgv8q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o57nt6zeio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Directorio de equipo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813wa40zm6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Este informe incluye: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8ss1tisxnm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 priorización se realiza bajo la técnica MoSCoW: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59utwkxvsn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Backlog Priorizado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467chfzgj0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Resumen de Sprints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etd1o8u99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Conclusiones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92l1vrz5a9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Referencias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9">
      <w:pPr>
        <w:pStyle w:val="Title"/>
        <w:rPr/>
      </w:pPr>
      <w:bookmarkStart w:colFirst="0" w:colLast="0" w:name="_tr3pctaepuxc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spacing w:after="20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7c2fsmpgv8q7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Introducción</w:t>
      </w:r>
    </w:p>
    <w:p w:rsidR="00000000" w:rsidDel="00000000" w:rsidP="00000000" w:rsidRDefault="00000000" w:rsidRPr="00000000" w14:paraId="0000002B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backlog priorizado refleja las funcionalidades, mejoras y tareas técnicas del sistema FASTPOS, organizadas según el valor entregado al cliente (comercio chileno) y al negocio (cumplimiento tributario, estabilidad operativa, usabilidad). La priorización sigue la técnica MoSCoW, y cada ítem incluye estimación de esfuerzo, sprint de ejecución, dependencias, riesgos y notas relevantes. El orden es descendente por prioridad y dependencia técnica.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8"/>
        <w:gridCol w:w="2432.6666666666665"/>
        <w:gridCol w:w="2432.6666666666665"/>
        <w:gridCol w:w="2432.6666666666665"/>
        <w:tblGridChange w:id="0">
          <w:tblGrid>
            <w:gridCol w:w="1728"/>
            <w:gridCol w:w="2432.6666666666665"/>
            <w:gridCol w:w="2432.6666666666665"/>
            <w:gridCol w:w="2432.6666666666665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4"/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Style w:val="Heading2"/>
              <w:widowControl w:val="0"/>
              <w:spacing w:after="120" w:before="120" w:line="240" w:lineRule="auto"/>
              <w:rPr>
                <w:b w:val="1"/>
                <w:bCs w:val="1"/>
                <w:sz w:val="24"/>
                <w:szCs w:val="24"/>
              </w:rPr>
            </w:pPr>
            <w:bookmarkStart w:colFirst="0" w:colLast="0" w:name="_bo57nt6zeion" w:id="5"/>
            <w:bookmarkEnd w:id="5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Directorio de equipo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190500" cy="152400"/>
                  <wp:effectExtent b="0" l="0" r="0" t="0"/>
                  <wp:docPr descr="Ningún tipo" id="1" name="image4.png"/>
                  <a:graphic>
                    <a:graphicData uri="http://schemas.openxmlformats.org/drawingml/2006/picture">
                      <pic:pic>
                        <pic:nvPicPr>
                          <pic:cNvPr descr="Ningún tipo"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Imagen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190500" cy="152400"/>
                  <wp:effectExtent b="0" l="0" r="0" t="0"/>
                  <wp:docPr descr="Personas" id="2" name="image2.png"/>
                  <a:graphic>
                    <a:graphicData uri="http://schemas.openxmlformats.org/drawingml/2006/picture">
                      <pic:pic>
                        <pic:nvPicPr>
                          <pic:cNvPr descr="Personas"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Nombre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190500" cy="152400"/>
                  <wp:effectExtent b="0" l="0" r="0" t="0"/>
                  <wp:docPr descr="Desplegables" id="5" name="image3.png"/>
                  <a:graphic>
                    <a:graphicData uri="http://schemas.openxmlformats.org/drawingml/2006/picture">
                      <pic:pic>
                        <pic:nvPicPr>
                          <pic:cNvPr descr="Desplegables"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Rol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190500" cy="152400"/>
                  <wp:effectExtent b="0" l="0" r="0" t="0"/>
                  <wp:docPr descr="Ningún tipo" id="3" name="image4.png"/>
                  <a:graphic>
                    <a:graphicData uri="http://schemas.openxmlformats.org/drawingml/2006/picture">
                      <pic:pic>
                        <pic:nvPicPr>
                          <pic:cNvPr descr="Ningún tipo"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Ubicación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9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MATIAS IGNACIO GUTIERREZ BUSTAMANTE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hyperlink r:id="rId10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FERNANDA . MONSALVE LUCO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alias w:val="Rol"/>
                <w:id w:val="-1146001415"/>
                <w:dropDownList w:lastValue="DevOps">
                  <w:listItem w:displayText="PO" w:value="PO"/>
                  <w:listItem w:displayText="SM" w:value="SM"/>
                  <w:listItem w:displayText="DevOps" w:value="DevOps"/>
                  <w:listItem w:displayText="Stakeholders " w:value="Stakeholders 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DevOps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Lugar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1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FERNANDA . MONSALVE LUCO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alias w:val="Rol"/>
                <w:id w:val="87869386"/>
                <w:dropDownList w:lastValue="PO">
                  <w:listItem w:displayText="PO" w:value="PO"/>
                  <w:listItem w:displayText="SM" w:value="SM"/>
                  <w:listItem w:displayText="DevOps" w:value="DevOps"/>
                  <w:listItem w:displayText="Stakeholders " w:value="Stakeholders "/>
                </w:dropDownList>
              </w:sdtPr>
              <w:sdtContent>
                <w:r w:rsidDel="00000000" w:rsidR="00000000" w:rsidRPr="00000000">
                  <w:rPr>
                    <w:color w:val="5a3286"/>
                    <w:shd w:fill="e6cff2" w:val="clear"/>
                  </w:rPr>
                  <w:t xml:space="preserve">PO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Lugar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2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MATIAS IGNACIO GUTIERREZ BUSTAMANTE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alias w:val="Rol"/>
                <w:id w:val="497372749"/>
                <w:dropDownList w:lastValue="SM">
                  <w:listItem w:displayText="PO" w:value="PO"/>
                  <w:listItem w:displayText="SM" w:value="SM"/>
                  <w:listItem w:displayText="DevOps" w:value="DevOps"/>
                  <w:listItem w:displayText="Stakeholders " w:value="Stakeholders "/>
                </w:dropDownList>
              </w:sdtPr>
              <w:sdtContent>
                <w:r w:rsidDel="00000000" w:rsidR="00000000" w:rsidRPr="00000000">
                  <w:rPr>
                    <w:color w:val="0a53a8"/>
                    <w:shd w:fill="bfe1f6" w:val="clear"/>
                  </w:rPr>
                  <w:t xml:space="preserve">SM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Lugar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3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FERNANDA . MONSALVE LUCO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hyperlink r:id="rId14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MATIAS IGNACIO GUTIERREZ BUSTAMANTE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alias w:val="Rol"/>
                <w:id w:val="2066292396"/>
                <w:dropDownList w:lastValue="Stakeholders ">
                  <w:listItem w:displayText="PO" w:value="PO"/>
                  <w:listItem w:displayText="SM" w:value="SM"/>
                  <w:listItem w:displayText="DevOps" w:value="DevOps"/>
                  <w:listItem w:displayText="Stakeholders " w:value="Stakeholders 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Stakeholders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Lugar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spacing w:after="20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1813wa40zm6y" w:id="6"/>
      <w:bookmarkEnd w:id="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Este informe incluye: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Descripción clara de cada ítem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Prioridad (MoSCoW: Must, Should, Could, Won’t)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Esfuerzo estimado en puntos de historia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Sprint planificado o completado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Dependencias y riesgos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20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Notas técnicas o de contexto</w:t>
      </w:r>
    </w:p>
    <w:p w:rsidR="00000000" w:rsidDel="00000000" w:rsidP="00000000" w:rsidRDefault="00000000" w:rsidRPr="00000000" w14:paraId="0000004F">
      <w:pPr>
        <w:pStyle w:val="Heading1"/>
        <w:spacing w:after="20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u8ss1tisxnm5" w:id="7"/>
      <w:bookmarkEnd w:id="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 priorización se realiza bajo la técnica MoSCoW: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200" w:before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Must have: Funcionalidades críticas para operar el POS y cumplir con la normativa tributaria.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200" w:before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Should have: Importantes para calidad, seguridad o documentación, pero no bloqueantes.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200" w:before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Could have: Deseables, postergadas para no afectar el núcleo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20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Won’t have (this sprint): postergado intencionalmente.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2.8888888888889"/>
        <w:gridCol w:w="1002.8888888888889"/>
        <w:gridCol w:w="1002.8888888888889"/>
        <w:gridCol w:w="1002.8888888888889"/>
        <w:gridCol w:w="1002.8888888888889"/>
        <w:gridCol w:w="1002.8888888888889"/>
        <w:gridCol w:w="1002.8888888888889"/>
        <w:gridCol w:w="1002.8888888888889"/>
        <w:gridCol w:w="1002.8888888888889"/>
        <w:tblGridChange w:id="0">
          <w:tblGrid>
            <w:gridCol w:w="1002.8888888888889"/>
            <w:gridCol w:w="1002.8888888888889"/>
            <w:gridCol w:w="1002.8888888888889"/>
            <w:gridCol w:w="1002.8888888888889"/>
            <w:gridCol w:w="1002.8888888888889"/>
            <w:gridCol w:w="1002.8888888888889"/>
            <w:gridCol w:w="1002.8888888888889"/>
            <w:gridCol w:w="1002.8888888888889"/>
            <w:gridCol w:w="1002.8888888888889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9"/>
            <w:tcBorders>
              <w:bottom w:color="414149" w:space="0" w:sz="8" w:val="single"/>
            </w:tcBorders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Style w:val="Heading2"/>
              <w:widowControl w:val="0"/>
              <w:spacing w:after="120" w:before="120" w:line="240" w:lineRule="auto"/>
              <w:rPr/>
            </w:pPr>
            <w:bookmarkStart w:colFirst="0" w:colLast="0" w:name="_b59utwkxvsnp" w:id="8"/>
            <w:bookmarkEnd w:id="8"/>
            <w:r w:rsidDel="00000000" w:rsidR="00000000" w:rsidRPr="00000000">
              <w:rPr>
                <w:rtl w:val="0"/>
              </w:rPr>
              <w:t xml:space="preserve">Backlog Priorizado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414149" w:space="0" w:sz="8" w:val="single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bottom w:color="414149" w:space="0" w:sz="8" w:val="single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</w:p>
        </w:tc>
        <w:tc>
          <w:tcPr>
            <w:tcBorders>
              <w:bottom w:color="414149" w:space="0" w:sz="8" w:val="single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414149" w:space="0" w:sz="8" w:val="single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tcBorders>
              <w:bottom w:color="414149" w:space="0" w:sz="8" w:val="single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Esfuerzo (pts)</w:t>
            </w:r>
          </w:p>
        </w:tc>
        <w:tc>
          <w:tcPr>
            <w:tcBorders>
              <w:bottom w:color="414149" w:space="0" w:sz="8" w:val="single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Sprints</w:t>
            </w:r>
          </w:p>
        </w:tc>
        <w:tc>
          <w:tcPr>
            <w:tcBorders>
              <w:bottom w:color="414149" w:space="0" w:sz="8" w:val="single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Dependencias</w:t>
            </w:r>
          </w:p>
        </w:tc>
        <w:tc>
          <w:tcPr>
            <w:tcBorders>
              <w:bottom w:color="414149" w:space="0" w:sz="8" w:val="single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Riesgos</w:t>
            </w:r>
          </w:p>
        </w:tc>
        <w:tc>
          <w:tcPr>
            <w:tcBorders>
              <w:bottom w:color="414149" w:space="0" w:sz="8" w:val="single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14149" w:space="0" w:sz="8" w:val="single"/>
              <w:left w:color="414149" w:space="0" w:sz="8" w:val="single"/>
              <w:bottom w:color="414149" w:space="0" w:sz="8" w:val="single"/>
              <w:right w:color="414149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BP-01</w:t>
            </w:r>
          </w:p>
        </w:tc>
        <w:tc>
          <w:tcPr>
            <w:tcBorders>
              <w:top w:color="414149" w:space="0" w:sz="8" w:val="single"/>
              <w:left w:color="414149" w:space="0" w:sz="8" w:val="single"/>
              <w:bottom w:color="414149" w:space="0" w:sz="8" w:val="single"/>
              <w:right w:color="414149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Autenticación con Firebase Auth y roles</w:t>
            </w:r>
          </w:p>
        </w:tc>
        <w:tc>
          <w:tcPr>
            <w:tcBorders>
              <w:top w:color="414149" w:space="0" w:sz="8" w:val="single"/>
              <w:left w:color="414149" w:space="0" w:sz="8" w:val="single"/>
              <w:bottom w:color="414149" w:space="0" w:sz="8" w:val="single"/>
              <w:right w:color="414149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login con email/contraseña y asignación de roles (mesero,caja,admin) mediantecustom claims.</w:t>
            </w:r>
          </w:p>
        </w:tc>
        <w:tc>
          <w:tcPr>
            <w:tcBorders>
              <w:top w:color="414149" w:space="0" w:sz="8" w:val="single"/>
              <w:left w:color="414149" w:space="0" w:sz="8" w:val="single"/>
              <w:bottom w:color="414149" w:space="0" w:sz="8" w:val="single"/>
              <w:right w:color="414149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tcBorders>
              <w:top w:color="414149" w:space="0" w:sz="8" w:val="single"/>
              <w:left w:color="414149" w:space="0" w:sz="8" w:val="single"/>
              <w:bottom w:color="414149" w:space="0" w:sz="8" w:val="single"/>
              <w:right w:color="414149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414149" w:space="0" w:sz="8" w:val="single"/>
              <w:left w:color="414149" w:space="0" w:sz="8" w:val="single"/>
              <w:bottom w:color="414149" w:space="0" w:sz="8" w:val="single"/>
              <w:right w:color="414149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Sprint 2</w:t>
            </w:r>
          </w:p>
        </w:tc>
        <w:tc>
          <w:tcPr>
            <w:tcBorders>
              <w:top w:color="414149" w:space="0" w:sz="8" w:val="single"/>
              <w:left w:color="414149" w:space="0" w:sz="8" w:val="single"/>
              <w:bottom w:color="414149" w:space="0" w:sz="8" w:val="single"/>
              <w:right w:color="414149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Firebase configurado</w:t>
            </w:r>
          </w:p>
        </w:tc>
        <w:tc>
          <w:tcPr>
            <w:tcBorders>
              <w:top w:color="414149" w:space="0" w:sz="8" w:val="single"/>
              <w:left w:color="414149" w:space="0" w:sz="8" w:val="single"/>
              <w:bottom w:color="414149" w:space="0" w:sz="8" w:val="single"/>
              <w:right w:color="414149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Error en asignación de roles → acceso no autorizado</w:t>
            </w:r>
          </w:p>
        </w:tc>
        <w:tc>
          <w:tcPr>
            <w:tcBorders>
              <w:top w:color="414149" w:space="0" w:sz="8" w:val="single"/>
              <w:left w:color="414149" w:space="0" w:sz="8" w:val="single"/>
              <w:bottom w:color="414149" w:space="0" w:sz="8" w:val="single"/>
              <w:right w:color="414149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Validada con docente y Trello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14149" w:space="0" w:sz="8" w:val="single"/>
              <w:left w:color="414149" w:space="0" w:sz="8" w:val="single"/>
              <w:bottom w:color="414149" w:space="0" w:sz="8" w:val="single"/>
              <w:right w:color="414149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BP-02</w:t>
            </w:r>
          </w:p>
        </w:tc>
        <w:tc>
          <w:tcPr>
            <w:tcBorders>
              <w:top w:color="414149" w:space="0" w:sz="8" w:val="single"/>
              <w:left w:color="414149" w:space="0" w:sz="8" w:val="single"/>
              <w:bottom w:color="414149" w:space="0" w:sz="8" w:val="single"/>
              <w:right w:color="414149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Protección de rutas por rol</w:t>
            </w:r>
          </w:p>
        </w:tc>
        <w:tc>
          <w:tcPr>
            <w:tcBorders>
              <w:top w:color="414149" w:space="0" w:sz="8" w:val="single"/>
              <w:left w:color="414149" w:space="0" w:sz="8" w:val="single"/>
              <w:bottom w:color="414149" w:space="0" w:sz="8" w:val="single"/>
              <w:right w:color="414149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Redirigir a dashboard específico según rol y bloquear acceso no autorizado.</w:t>
            </w:r>
          </w:p>
        </w:tc>
        <w:tc>
          <w:tcPr>
            <w:tcBorders>
              <w:top w:color="414149" w:space="0" w:sz="8" w:val="single"/>
              <w:left w:color="414149" w:space="0" w:sz="8" w:val="single"/>
              <w:bottom w:color="414149" w:space="0" w:sz="8" w:val="single"/>
              <w:right w:color="414149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tcBorders>
              <w:top w:color="414149" w:space="0" w:sz="8" w:val="single"/>
              <w:left w:color="414149" w:space="0" w:sz="8" w:val="single"/>
              <w:bottom w:color="414149" w:space="0" w:sz="8" w:val="single"/>
              <w:right w:color="414149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414149" w:space="0" w:sz="8" w:val="single"/>
              <w:left w:color="414149" w:space="0" w:sz="8" w:val="single"/>
              <w:bottom w:color="414149" w:space="0" w:sz="8" w:val="single"/>
              <w:right w:color="414149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Sprint 2</w:t>
            </w:r>
          </w:p>
        </w:tc>
        <w:tc>
          <w:tcPr>
            <w:tcBorders>
              <w:top w:color="414149" w:space="0" w:sz="8" w:val="single"/>
              <w:left w:color="414149" w:space="0" w:sz="8" w:val="single"/>
              <w:bottom w:color="414149" w:space="0" w:sz="8" w:val="single"/>
              <w:right w:color="414149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BP-01</w:t>
            </w:r>
          </w:p>
        </w:tc>
        <w:tc>
          <w:tcPr>
            <w:tcBorders>
              <w:top w:color="414149" w:space="0" w:sz="8" w:val="single"/>
              <w:left w:color="414149" w:space="0" w:sz="8" w:val="single"/>
              <w:bottom w:color="414149" w:space="0" w:sz="8" w:val="single"/>
              <w:right w:color="414149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Rutas expuestas → fuga de información</w:t>
            </w:r>
          </w:p>
        </w:tc>
        <w:tc>
          <w:tcPr>
            <w:tcBorders>
              <w:top w:color="414149" w:space="0" w:sz="8" w:val="single"/>
              <w:left w:color="414149" w:space="0" w:sz="8" w:val="single"/>
              <w:bottom w:color="414149" w:space="0" w:sz="8" w:val="single"/>
              <w:right w:color="414149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UsandoAuthContext+ProtectedRoute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14149" w:space="0" w:sz="8" w:val="single"/>
              <w:left w:color="414149" w:space="0" w:sz="8" w:val="single"/>
              <w:bottom w:color="414149" w:space="0" w:sz="8" w:val="single"/>
              <w:right w:color="414149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BP-03</w:t>
            </w:r>
          </w:p>
        </w:tc>
        <w:tc>
          <w:tcPr>
            <w:tcBorders>
              <w:top w:color="414149" w:space="0" w:sz="8" w:val="single"/>
              <w:left w:color="414149" w:space="0" w:sz="8" w:val="single"/>
              <w:bottom w:color="414149" w:space="0" w:sz="8" w:val="single"/>
              <w:right w:color="414149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Migración a Firebase (Firestore + Auth)</w:t>
            </w:r>
          </w:p>
        </w:tc>
        <w:tc>
          <w:tcPr>
            <w:tcBorders>
              <w:top w:color="414149" w:space="0" w:sz="8" w:val="single"/>
              <w:left w:color="414149" w:space="0" w:sz="8" w:val="single"/>
              <w:bottom w:color="414149" w:space="0" w:sz="8" w:val="single"/>
              <w:right w:color="414149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Reemplazar backend Express/SQL local por Firebase para colaboración estable.</w:t>
            </w:r>
          </w:p>
        </w:tc>
        <w:tc>
          <w:tcPr>
            <w:tcBorders>
              <w:top w:color="414149" w:space="0" w:sz="8" w:val="single"/>
              <w:left w:color="414149" w:space="0" w:sz="8" w:val="single"/>
              <w:bottom w:color="414149" w:space="0" w:sz="8" w:val="single"/>
              <w:right w:color="414149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tcBorders>
              <w:top w:color="414149" w:space="0" w:sz="8" w:val="single"/>
              <w:left w:color="414149" w:space="0" w:sz="8" w:val="single"/>
              <w:bottom w:color="414149" w:space="0" w:sz="8" w:val="single"/>
              <w:right w:color="414149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414149" w:space="0" w:sz="8" w:val="single"/>
              <w:left w:color="414149" w:space="0" w:sz="8" w:val="single"/>
              <w:bottom w:color="414149" w:space="0" w:sz="8" w:val="single"/>
              <w:right w:color="414149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Sprint 1</w:t>
            </w:r>
          </w:p>
        </w:tc>
        <w:tc>
          <w:tcPr>
            <w:tcBorders>
              <w:top w:color="414149" w:space="0" w:sz="8" w:val="single"/>
              <w:left w:color="414149" w:space="0" w:sz="8" w:val="single"/>
              <w:bottom w:color="414149" w:space="0" w:sz="8" w:val="single"/>
              <w:right w:color="414149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Ninguna</w:t>
            </w:r>
          </w:p>
        </w:tc>
        <w:tc>
          <w:tcPr>
            <w:tcBorders>
              <w:top w:color="414149" w:space="0" w:sz="8" w:val="single"/>
              <w:left w:color="414149" w:space="0" w:sz="8" w:val="single"/>
              <w:bottom w:color="414149" w:space="0" w:sz="8" w:val="single"/>
              <w:right w:color="414149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Pérdida de datos durante migración</w:t>
            </w:r>
          </w:p>
        </w:tc>
        <w:tc>
          <w:tcPr>
            <w:tcBorders>
              <w:top w:color="414149" w:space="0" w:sz="8" w:val="single"/>
              <w:left w:color="414149" w:space="0" w:sz="8" w:val="single"/>
              <w:bottom w:color="414149" w:space="0" w:sz="8" w:val="single"/>
              <w:right w:color="414149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Justificada técnicamente y validada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14149" w:space="0" w:sz="8" w:val="single"/>
              <w:left w:color="414149" w:space="0" w:sz="8" w:val="single"/>
              <w:bottom w:color="414149" w:space="0" w:sz="8" w:val="single"/>
              <w:right w:color="414149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BP-04</w:t>
            </w:r>
          </w:p>
        </w:tc>
        <w:tc>
          <w:tcPr>
            <w:tcBorders>
              <w:top w:color="414149" w:space="0" w:sz="8" w:val="single"/>
              <w:left w:color="414149" w:space="0" w:sz="8" w:val="single"/>
              <w:bottom w:color="414149" w:space="0" w:sz="8" w:val="single"/>
              <w:right w:color="414149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Módulo de caja con cálculo tributario</w:t>
            </w:r>
          </w:p>
        </w:tc>
        <w:tc>
          <w:tcPr>
            <w:tcBorders>
              <w:top w:color="414149" w:space="0" w:sz="8" w:val="single"/>
              <w:left w:color="414149" w:space="0" w:sz="8" w:val="single"/>
              <w:bottom w:color="414149" w:space="0" w:sz="8" w:val="single"/>
              <w:right w:color="414149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Interfaz funcional que calcule: subtotal → descuento → IVA (19%) → total, cumpliendo normativa chilena.</w:t>
            </w:r>
          </w:p>
        </w:tc>
        <w:tc>
          <w:tcPr>
            <w:tcBorders>
              <w:top w:color="414149" w:space="0" w:sz="8" w:val="single"/>
              <w:left w:color="414149" w:space="0" w:sz="8" w:val="single"/>
              <w:bottom w:color="414149" w:space="0" w:sz="8" w:val="single"/>
              <w:right w:color="414149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tcBorders>
              <w:top w:color="414149" w:space="0" w:sz="8" w:val="single"/>
              <w:left w:color="414149" w:space="0" w:sz="8" w:val="single"/>
              <w:bottom w:color="414149" w:space="0" w:sz="8" w:val="single"/>
              <w:right w:color="414149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414149" w:space="0" w:sz="8" w:val="single"/>
              <w:left w:color="414149" w:space="0" w:sz="8" w:val="single"/>
              <w:bottom w:color="414149" w:space="0" w:sz="8" w:val="single"/>
              <w:right w:color="414149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Sprint 3</w:t>
            </w:r>
          </w:p>
        </w:tc>
        <w:tc>
          <w:tcPr>
            <w:tcBorders>
              <w:top w:color="414149" w:space="0" w:sz="8" w:val="single"/>
              <w:left w:color="414149" w:space="0" w:sz="8" w:val="single"/>
              <w:bottom w:color="414149" w:space="0" w:sz="8" w:val="single"/>
              <w:right w:color="414149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BP-01, BP-02</w:t>
            </w:r>
          </w:p>
        </w:tc>
        <w:tc>
          <w:tcPr>
            <w:tcBorders>
              <w:top w:color="414149" w:space="0" w:sz="8" w:val="single"/>
              <w:left w:color="414149" w:space="0" w:sz="8" w:val="single"/>
              <w:bottom w:color="414149" w:space="0" w:sz="8" w:val="single"/>
              <w:right w:color="414149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Cálculo incorrecto → no conformidad legal</w:t>
            </w:r>
          </w:p>
        </w:tc>
        <w:tc>
          <w:tcPr>
            <w:tcBorders>
              <w:top w:color="414149" w:space="0" w:sz="8" w:val="single"/>
              <w:left w:color="414149" w:space="0" w:sz="8" w:val="single"/>
              <w:bottom w:color="414149" w:space="0" w:sz="8" w:val="single"/>
              <w:right w:color="414149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CP-01 a CP-04 validados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14149" w:space="0" w:sz="8" w:val="single"/>
              <w:left w:color="414149" w:space="0" w:sz="8" w:val="single"/>
              <w:bottom w:color="414149" w:space="0" w:sz="8" w:val="single"/>
              <w:right w:color="414149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BP-05</w:t>
            </w:r>
          </w:p>
        </w:tc>
        <w:tc>
          <w:tcPr>
            <w:tcBorders>
              <w:top w:color="414149" w:space="0" w:sz="8" w:val="single"/>
              <w:left w:color="414149" w:space="0" w:sz="8" w:val="single"/>
              <w:bottom w:color="414149" w:space="0" w:sz="8" w:val="single"/>
              <w:right w:color="414149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Conexión de caja a Firestore</w:t>
            </w:r>
          </w:p>
        </w:tc>
        <w:tc>
          <w:tcPr>
            <w:tcBorders>
              <w:top w:color="414149" w:space="0" w:sz="8" w:val="single"/>
              <w:left w:color="414149" w:space="0" w:sz="8" w:val="single"/>
              <w:bottom w:color="414149" w:space="0" w:sz="8" w:val="single"/>
              <w:right w:color="414149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Guardar pedidos en colecciónventascon estado “pendiente”, timestamp y usuario.</w:t>
            </w:r>
          </w:p>
        </w:tc>
        <w:tc>
          <w:tcPr>
            <w:tcBorders>
              <w:top w:color="414149" w:space="0" w:sz="8" w:val="single"/>
              <w:left w:color="414149" w:space="0" w:sz="8" w:val="single"/>
              <w:bottom w:color="414149" w:space="0" w:sz="8" w:val="single"/>
              <w:right w:color="414149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tcBorders>
              <w:top w:color="414149" w:space="0" w:sz="8" w:val="single"/>
              <w:left w:color="414149" w:space="0" w:sz="8" w:val="single"/>
              <w:bottom w:color="414149" w:space="0" w:sz="8" w:val="single"/>
              <w:right w:color="414149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414149" w:space="0" w:sz="8" w:val="single"/>
              <w:left w:color="414149" w:space="0" w:sz="8" w:val="single"/>
              <w:bottom w:color="414149" w:space="0" w:sz="8" w:val="single"/>
              <w:right w:color="414149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Sprint 3</w:t>
            </w:r>
          </w:p>
        </w:tc>
        <w:tc>
          <w:tcPr>
            <w:tcBorders>
              <w:top w:color="414149" w:space="0" w:sz="8" w:val="single"/>
              <w:left w:color="414149" w:space="0" w:sz="8" w:val="single"/>
              <w:bottom w:color="414149" w:space="0" w:sz="8" w:val="single"/>
              <w:right w:color="414149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BP-04</w:t>
            </w:r>
          </w:p>
        </w:tc>
        <w:tc>
          <w:tcPr>
            <w:tcBorders>
              <w:top w:color="414149" w:space="0" w:sz="8" w:val="single"/>
              <w:left w:color="414149" w:space="0" w:sz="8" w:val="single"/>
              <w:bottom w:color="414149" w:space="0" w:sz="8" w:val="single"/>
              <w:right w:color="414149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Fallo parcial → datos inconsistentes</w:t>
            </w:r>
          </w:p>
        </w:tc>
        <w:tc>
          <w:tcPr>
            <w:tcBorders>
              <w:top w:color="414149" w:space="0" w:sz="8" w:val="single"/>
              <w:left w:color="414149" w:space="0" w:sz="8" w:val="single"/>
              <w:bottom w:color="414149" w:space="0" w:sz="8" w:val="single"/>
              <w:right w:color="414149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UsadowriteBatchdesde Sprint 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14149" w:space="0" w:sz="8" w:val="single"/>
              <w:left w:color="414149" w:space="0" w:sz="8" w:val="single"/>
              <w:bottom w:color="414149" w:space="0" w:sz="8" w:val="single"/>
              <w:right w:color="414149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BP-06</w:t>
            </w:r>
          </w:p>
        </w:tc>
        <w:tc>
          <w:tcPr>
            <w:tcBorders>
              <w:top w:color="414149" w:space="0" w:sz="8" w:val="single"/>
              <w:left w:color="414149" w:space="0" w:sz="8" w:val="single"/>
              <w:bottom w:color="414149" w:space="0" w:sz="8" w:val="single"/>
              <w:right w:color="414149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Gestión atómica de inventario</w:t>
            </w:r>
          </w:p>
        </w:tc>
        <w:tc>
          <w:tcPr>
            <w:tcBorders>
              <w:top w:color="414149" w:space="0" w:sz="8" w:val="single"/>
              <w:left w:color="414149" w:space="0" w:sz="8" w:val="single"/>
              <w:bottom w:color="414149" w:space="0" w:sz="8" w:val="single"/>
              <w:right w:color="414149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Actualizar stock al registrar o cancelar venta. Revertir si falla la operación.</w:t>
            </w:r>
          </w:p>
        </w:tc>
        <w:tc>
          <w:tcPr>
            <w:tcBorders>
              <w:top w:color="414149" w:space="0" w:sz="8" w:val="single"/>
              <w:left w:color="414149" w:space="0" w:sz="8" w:val="single"/>
              <w:bottom w:color="414149" w:space="0" w:sz="8" w:val="single"/>
              <w:right w:color="414149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tcBorders>
              <w:top w:color="414149" w:space="0" w:sz="8" w:val="single"/>
              <w:left w:color="414149" w:space="0" w:sz="8" w:val="single"/>
              <w:bottom w:color="414149" w:space="0" w:sz="8" w:val="single"/>
              <w:right w:color="414149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414149" w:space="0" w:sz="8" w:val="single"/>
              <w:left w:color="414149" w:space="0" w:sz="8" w:val="single"/>
              <w:bottom w:color="414149" w:space="0" w:sz="8" w:val="single"/>
              <w:right w:color="414149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Sprint 4</w:t>
            </w:r>
          </w:p>
        </w:tc>
        <w:tc>
          <w:tcPr>
            <w:tcBorders>
              <w:top w:color="414149" w:space="0" w:sz="8" w:val="single"/>
              <w:left w:color="414149" w:space="0" w:sz="8" w:val="single"/>
              <w:bottom w:color="414149" w:space="0" w:sz="8" w:val="single"/>
              <w:right w:color="414149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BP-05</w:t>
            </w:r>
          </w:p>
        </w:tc>
        <w:tc>
          <w:tcPr>
            <w:tcBorders>
              <w:top w:color="414149" w:space="0" w:sz="8" w:val="single"/>
              <w:left w:color="414149" w:space="0" w:sz="8" w:val="single"/>
              <w:bottom w:color="414149" w:space="0" w:sz="8" w:val="single"/>
              <w:right w:color="414149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Stock negativo o inconsistente</w:t>
            </w:r>
          </w:p>
        </w:tc>
        <w:tc>
          <w:tcPr>
            <w:tcBorders>
              <w:top w:color="414149" w:space="0" w:sz="8" w:val="single"/>
              <w:left w:color="414149" w:space="0" w:sz="8" w:val="single"/>
              <w:bottom w:color="414149" w:space="0" w:sz="8" w:val="single"/>
              <w:right w:color="414149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Validado con CP-05 a CP-07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14149" w:space="0" w:sz="8" w:val="single"/>
              <w:left w:color="414149" w:space="0" w:sz="8" w:val="single"/>
              <w:bottom w:color="414149" w:space="0" w:sz="8" w:val="single"/>
              <w:right w:color="414149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BP-07</w:t>
            </w:r>
          </w:p>
        </w:tc>
        <w:tc>
          <w:tcPr>
            <w:tcBorders>
              <w:top w:color="414149" w:space="0" w:sz="8" w:val="single"/>
              <w:left w:color="414149" w:space="0" w:sz="8" w:val="single"/>
              <w:bottom w:color="414149" w:space="0" w:sz="8" w:val="single"/>
              <w:right w:color="414149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Colección Inventario En Firestore</w:t>
            </w:r>
          </w:p>
        </w:tc>
        <w:tc>
          <w:tcPr>
            <w:tcBorders>
              <w:top w:color="414149" w:space="0" w:sz="8" w:val="single"/>
              <w:left w:color="414149" w:space="0" w:sz="8" w:val="single"/>
              <w:bottom w:color="414149" w:space="0" w:sz="8" w:val="single"/>
              <w:right w:color="414149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Registrar entradas/salidas de stock vinculadas a ventas.</w:t>
            </w:r>
          </w:p>
        </w:tc>
        <w:tc>
          <w:tcPr>
            <w:tcBorders>
              <w:top w:color="414149" w:space="0" w:sz="8" w:val="single"/>
              <w:left w:color="414149" w:space="0" w:sz="8" w:val="single"/>
              <w:bottom w:color="414149" w:space="0" w:sz="8" w:val="single"/>
              <w:right w:color="414149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tcBorders>
              <w:top w:color="414149" w:space="0" w:sz="8" w:val="single"/>
              <w:left w:color="414149" w:space="0" w:sz="8" w:val="single"/>
              <w:bottom w:color="414149" w:space="0" w:sz="8" w:val="single"/>
              <w:right w:color="414149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414149" w:space="0" w:sz="8" w:val="single"/>
              <w:left w:color="414149" w:space="0" w:sz="8" w:val="single"/>
              <w:bottom w:color="414149" w:space="0" w:sz="8" w:val="single"/>
              <w:right w:color="414149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Sprint 4</w:t>
            </w:r>
          </w:p>
        </w:tc>
        <w:tc>
          <w:tcPr>
            <w:tcBorders>
              <w:top w:color="414149" w:space="0" w:sz="8" w:val="single"/>
              <w:left w:color="414149" w:space="0" w:sz="8" w:val="single"/>
              <w:bottom w:color="414149" w:space="0" w:sz="8" w:val="single"/>
              <w:right w:color="414149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BP-06</w:t>
            </w:r>
          </w:p>
        </w:tc>
        <w:tc>
          <w:tcPr>
            <w:tcBorders>
              <w:top w:color="414149" w:space="0" w:sz="8" w:val="single"/>
              <w:left w:color="414149" w:space="0" w:sz="8" w:val="single"/>
              <w:bottom w:color="414149" w:space="0" w:sz="8" w:val="single"/>
              <w:right w:color="414149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Reglas de seguridad mal configuradas</w:t>
            </w:r>
          </w:p>
        </w:tc>
        <w:tc>
          <w:tcPr>
            <w:tcBorders>
              <w:top w:color="414149" w:space="0" w:sz="8" w:val="single"/>
              <w:left w:color="414149" w:space="0" w:sz="8" w:val="single"/>
              <w:bottom w:color="414149" w:space="0" w:sz="8" w:val="single"/>
              <w:right w:color="414149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Reglas por rol implementadas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14149" w:space="0" w:sz="8" w:val="single"/>
              <w:left w:color="414149" w:space="0" w:sz="8" w:val="single"/>
              <w:bottom w:color="414149" w:space="0" w:sz="8" w:val="single"/>
              <w:right w:color="414149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BP-08</w:t>
            </w:r>
          </w:p>
        </w:tc>
        <w:tc>
          <w:tcPr>
            <w:tcBorders>
              <w:top w:color="414149" w:space="0" w:sz="8" w:val="single"/>
              <w:left w:color="414149" w:space="0" w:sz="8" w:val="single"/>
              <w:bottom w:color="414149" w:space="0" w:sz="8" w:val="single"/>
              <w:right w:color="414149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Interfaz para mesero – tomar pedidos</w:t>
            </w:r>
          </w:p>
        </w:tc>
        <w:tc>
          <w:tcPr>
            <w:tcBorders>
              <w:top w:color="414149" w:space="0" w:sz="8" w:val="single"/>
              <w:left w:color="414149" w:space="0" w:sz="8" w:val="single"/>
              <w:bottom w:color="414149" w:space="0" w:sz="8" w:val="single"/>
              <w:right w:color="414149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Seleccionar mesa y agregar productos desde catálogo filtrado.</w:t>
            </w:r>
          </w:p>
        </w:tc>
        <w:tc>
          <w:tcPr>
            <w:tcBorders>
              <w:top w:color="414149" w:space="0" w:sz="8" w:val="single"/>
              <w:left w:color="414149" w:space="0" w:sz="8" w:val="single"/>
              <w:bottom w:color="414149" w:space="0" w:sz="8" w:val="single"/>
              <w:right w:color="414149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tcBorders>
              <w:top w:color="414149" w:space="0" w:sz="8" w:val="single"/>
              <w:left w:color="414149" w:space="0" w:sz="8" w:val="single"/>
              <w:bottom w:color="414149" w:space="0" w:sz="8" w:val="single"/>
              <w:right w:color="414149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414149" w:space="0" w:sz="8" w:val="single"/>
              <w:left w:color="414149" w:space="0" w:sz="8" w:val="single"/>
              <w:bottom w:color="414149" w:space="0" w:sz="8" w:val="single"/>
              <w:right w:color="414149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Sprint 6</w:t>
            </w:r>
          </w:p>
        </w:tc>
        <w:tc>
          <w:tcPr>
            <w:tcBorders>
              <w:top w:color="414149" w:space="0" w:sz="8" w:val="single"/>
              <w:left w:color="414149" w:space="0" w:sz="8" w:val="single"/>
              <w:bottom w:color="414149" w:space="0" w:sz="8" w:val="single"/>
              <w:right w:color="414149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BP-01, BP-04</w:t>
            </w:r>
          </w:p>
        </w:tc>
        <w:tc>
          <w:tcPr>
            <w:tcBorders>
              <w:top w:color="414149" w:space="0" w:sz="8" w:val="single"/>
              <w:left w:color="414149" w:space="0" w:sz="8" w:val="single"/>
              <w:bottom w:color="414149" w:space="0" w:sz="8" w:val="single"/>
              <w:right w:color="414149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UI poco intuitiva → errores operativos</w:t>
            </w:r>
          </w:p>
        </w:tc>
        <w:tc>
          <w:tcPr>
            <w:tcBorders>
              <w:top w:color="414149" w:space="0" w:sz="8" w:val="single"/>
              <w:left w:color="414149" w:space="0" w:sz="8" w:val="single"/>
              <w:bottom w:color="414149" w:space="0" w:sz="8" w:val="single"/>
              <w:right w:color="414149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Validada con flujo de usuario real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14149" w:space="0" w:sz="8" w:val="single"/>
              <w:left w:color="414149" w:space="0" w:sz="8" w:val="single"/>
              <w:bottom w:color="414149" w:space="0" w:sz="8" w:val="single"/>
              <w:right w:color="414149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BP-09</w:t>
            </w:r>
          </w:p>
        </w:tc>
        <w:tc>
          <w:tcPr>
            <w:tcBorders>
              <w:top w:color="414149" w:space="0" w:sz="8" w:val="single"/>
              <w:left w:color="414149" w:space="0" w:sz="8" w:val="single"/>
              <w:bottom w:color="414149" w:space="0" w:sz="8" w:val="single"/>
              <w:right w:color="414149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Corrección de bug: descuento antes del IVA</w:t>
            </w:r>
          </w:p>
        </w:tc>
        <w:tc>
          <w:tcPr>
            <w:tcBorders>
              <w:top w:color="414149" w:space="0" w:sz="8" w:val="single"/>
              <w:left w:color="414149" w:space="0" w:sz="8" w:val="single"/>
              <w:bottom w:color="414149" w:space="0" w:sz="8" w:val="single"/>
              <w:right w:color="414149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Asegurar que descuentos se apliquen sobre subtotal,antesdel IVA (normativa chilena).</w:t>
            </w:r>
          </w:p>
        </w:tc>
        <w:tc>
          <w:tcPr>
            <w:tcBorders>
              <w:top w:color="414149" w:space="0" w:sz="8" w:val="single"/>
              <w:left w:color="414149" w:space="0" w:sz="8" w:val="single"/>
              <w:bottom w:color="414149" w:space="0" w:sz="8" w:val="single"/>
              <w:right w:color="414149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tcBorders>
              <w:top w:color="414149" w:space="0" w:sz="8" w:val="single"/>
              <w:left w:color="414149" w:space="0" w:sz="8" w:val="single"/>
              <w:bottom w:color="414149" w:space="0" w:sz="8" w:val="single"/>
              <w:right w:color="414149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414149" w:space="0" w:sz="8" w:val="single"/>
              <w:left w:color="414149" w:space="0" w:sz="8" w:val="single"/>
              <w:bottom w:color="414149" w:space="0" w:sz="8" w:val="single"/>
              <w:right w:color="414149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Sprint 5</w:t>
            </w:r>
          </w:p>
        </w:tc>
        <w:tc>
          <w:tcPr>
            <w:tcBorders>
              <w:top w:color="414149" w:space="0" w:sz="8" w:val="single"/>
              <w:left w:color="414149" w:space="0" w:sz="8" w:val="single"/>
              <w:bottom w:color="414149" w:space="0" w:sz="8" w:val="single"/>
              <w:right w:color="414149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BP-04</w:t>
            </w:r>
          </w:p>
        </w:tc>
        <w:tc>
          <w:tcPr>
            <w:tcBorders>
              <w:top w:color="414149" w:space="0" w:sz="8" w:val="single"/>
              <w:left w:color="414149" w:space="0" w:sz="8" w:val="single"/>
              <w:bottom w:color="414149" w:space="0" w:sz="8" w:val="single"/>
              <w:right w:color="414149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Incumplimiento legal</w:t>
            </w:r>
          </w:p>
        </w:tc>
        <w:tc>
          <w:tcPr>
            <w:tcBorders>
              <w:top w:color="414149" w:space="0" w:sz="8" w:val="single"/>
              <w:left w:color="414149" w:space="0" w:sz="8" w:val="single"/>
              <w:bottom w:color="414149" w:space="0" w:sz="8" w:val="single"/>
              <w:right w:color="414149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Corregido y reprobado en CP-02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14149" w:space="0" w:sz="8" w:val="single"/>
              <w:left w:color="414149" w:space="0" w:sz="8" w:val="single"/>
              <w:bottom w:color="414149" w:space="0" w:sz="8" w:val="single"/>
              <w:right w:color="414149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BP-10</w:t>
            </w:r>
          </w:p>
        </w:tc>
        <w:tc>
          <w:tcPr>
            <w:tcBorders>
              <w:top w:color="414149" w:space="0" w:sz="8" w:val="single"/>
              <w:left w:color="414149" w:space="0" w:sz="8" w:val="single"/>
              <w:bottom w:color="414149" w:space="0" w:sz="8" w:val="single"/>
              <w:right w:color="414149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Reportes básicos (ventas del día, productos más vendidos)</w:t>
            </w:r>
          </w:p>
        </w:tc>
        <w:tc>
          <w:tcPr>
            <w:tcBorders>
              <w:top w:color="414149" w:space="0" w:sz="8" w:val="single"/>
              <w:left w:color="414149" w:space="0" w:sz="8" w:val="single"/>
              <w:bottom w:color="414149" w:space="0" w:sz="8" w:val="single"/>
              <w:right w:color="414149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Vista para admin con datos resumidos de ventas y productos.</w:t>
            </w:r>
          </w:p>
        </w:tc>
        <w:tc>
          <w:tcPr>
            <w:tcBorders>
              <w:top w:color="414149" w:space="0" w:sz="8" w:val="single"/>
              <w:left w:color="414149" w:space="0" w:sz="8" w:val="single"/>
              <w:bottom w:color="414149" w:space="0" w:sz="8" w:val="single"/>
              <w:right w:color="414149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Could</w:t>
            </w:r>
          </w:p>
        </w:tc>
        <w:tc>
          <w:tcPr>
            <w:tcBorders>
              <w:top w:color="414149" w:space="0" w:sz="8" w:val="single"/>
              <w:left w:color="414149" w:space="0" w:sz="8" w:val="single"/>
              <w:bottom w:color="414149" w:space="0" w:sz="8" w:val="single"/>
              <w:right w:color="414149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414149" w:space="0" w:sz="8" w:val="single"/>
              <w:left w:color="414149" w:space="0" w:sz="8" w:val="single"/>
              <w:bottom w:color="414149" w:space="0" w:sz="8" w:val="single"/>
              <w:right w:color="414149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Sprint 5 → postergado</w:t>
            </w:r>
          </w:p>
        </w:tc>
        <w:tc>
          <w:tcPr>
            <w:tcBorders>
              <w:top w:color="414149" w:space="0" w:sz="8" w:val="single"/>
              <w:left w:color="414149" w:space="0" w:sz="8" w:val="single"/>
              <w:bottom w:color="414149" w:space="0" w:sz="8" w:val="single"/>
              <w:right w:color="414149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BP-05, BP-07</w:t>
            </w:r>
          </w:p>
        </w:tc>
        <w:tc>
          <w:tcPr>
            <w:tcBorders>
              <w:top w:color="414149" w:space="0" w:sz="8" w:val="single"/>
              <w:left w:color="414149" w:space="0" w:sz="8" w:val="single"/>
              <w:bottom w:color="414149" w:space="0" w:sz="8" w:val="single"/>
              <w:right w:color="414149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Desvío de foco → retraso en núcleo</w:t>
            </w:r>
          </w:p>
        </w:tc>
        <w:tc>
          <w:tcPr>
            <w:tcBorders>
              <w:top w:color="414149" w:space="0" w:sz="8" w:val="single"/>
              <w:left w:color="414149" w:space="0" w:sz="8" w:val="single"/>
              <w:bottom w:color="414149" w:space="0" w:sz="8" w:val="single"/>
              <w:right w:color="414149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Postergadoa Fase Final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14149" w:space="0" w:sz="8" w:val="single"/>
              <w:left w:color="414149" w:space="0" w:sz="8" w:val="single"/>
              <w:bottom w:color="414149" w:space="0" w:sz="8" w:val="single"/>
              <w:right w:color="414149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BP-11</w:t>
            </w:r>
          </w:p>
        </w:tc>
        <w:tc>
          <w:tcPr>
            <w:tcBorders>
              <w:top w:color="414149" w:space="0" w:sz="8" w:val="single"/>
              <w:left w:color="414149" w:space="0" w:sz="8" w:val="single"/>
              <w:bottom w:color="414149" w:space="0" w:sz="8" w:val="single"/>
              <w:right w:color="414149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Integración de reCAPTCHA en login</w:t>
            </w:r>
          </w:p>
        </w:tc>
        <w:tc>
          <w:tcPr>
            <w:tcBorders>
              <w:top w:color="414149" w:space="0" w:sz="8" w:val="single"/>
              <w:left w:color="414149" w:space="0" w:sz="8" w:val="single"/>
              <w:bottom w:color="414149" w:space="0" w:sz="8" w:val="single"/>
              <w:right w:color="414149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Proteger formulario de login contra bots.</w:t>
            </w:r>
          </w:p>
        </w:tc>
        <w:tc>
          <w:tcPr>
            <w:tcBorders>
              <w:top w:color="414149" w:space="0" w:sz="8" w:val="single"/>
              <w:left w:color="414149" w:space="0" w:sz="8" w:val="single"/>
              <w:bottom w:color="414149" w:space="0" w:sz="8" w:val="single"/>
              <w:right w:color="414149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  <w:tc>
          <w:tcPr>
            <w:tcBorders>
              <w:top w:color="414149" w:space="0" w:sz="8" w:val="single"/>
              <w:left w:color="414149" w:space="0" w:sz="8" w:val="single"/>
              <w:bottom w:color="414149" w:space="0" w:sz="8" w:val="single"/>
              <w:right w:color="414149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414149" w:space="0" w:sz="8" w:val="single"/>
              <w:left w:color="414149" w:space="0" w:sz="8" w:val="single"/>
              <w:bottom w:color="414149" w:space="0" w:sz="8" w:val="single"/>
              <w:right w:color="414149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Sprint 6</w:t>
            </w:r>
          </w:p>
        </w:tc>
        <w:tc>
          <w:tcPr>
            <w:tcBorders>
              <w:top w:color="414149" w:space="0" w:sz="8" w:val="single"/>
              <w:left w:color="414149" w:space="0" w:sz="8" w:val="single"/>
              <w:bottom w:color="414149" w:space="0" w:sz="8" w:val="single"/>
              <w:right w:color="414149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BP-01</w:t>
            </w:r>
          </w:p>
        </w:tc>
        <w:tc>
          <w:tcPr>
            <w:tcBorders>
              <w:top w:color="414149" w:space="0" w:sz="8" w:val="single"/>
              <w:left w:color="414149" w:space="0" w:sz="8" w:val="single"/>
              <w:bottom w:color="414149" w:space="0" w:sz="8" w:val="single"/>
              <w:right w:color="414149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Complejidad en pruebas locales</w:t>
            </w:r>
          </w:p>
        </w:tc>
        <w:tc>
          <w:tcPr>
            <w:tcBorders>
              <w:top w:color="414149" w:space="0" w:sz="8" w:val="single"/>
              <w:left w:color="414149" w:space="0" w:sz="8" w:val="single"/>
              <w:bottom w:color="414149" w:space="0" w:sz="8" w:val="single"/>
              <w:right w:color="414149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Implementado en Sprint 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14149" w:space="0" w:sz="8" w:val="single"/>
              <w:left w:color="414149" w:space="0" w:sz="8" w:val="single"/>
              <w:bottom w:color="414149" w:space="0" w:sz="8" w:val="single"/>
              <w:right w:color="414149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BP-12</w:t>
            </w:r>
          </w:p>
        </w:tc>
        <w:tc>
          <w:tcPr>
            <w:tcBorders>
              <w:top w:color="414149" w:space="0" w:sz="8" w:val="single"/>
              <w:left w:color="414149" w:space="0" w:sz="8" w:val="single"/>
              <w:bottom w:color="414149" w:space="0" w:sz="8" w:val="single"/>
              <w:right w:color="414149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Manual de Usuario</w:t>
            </w:r>
          </w:p>
        </w:tc>
        <w:tc>
          <w:tcPr>
            <w:tcBorders>
              <w:top w:color="414149" w:space="0" w:sz="8" w:val="single"/>
              <w:left w:color="414149" w:space="0" w:sz="8" w:val="single"/>
              <w:bottom w:color="414149" w:space="0" w:sz="8" w:val="single"/>
              <w:right w:color="414149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Guía para cajeros, meseros y admin con pasos por rol.</w:t>
            </w:r>
          </w:p>
        </w:tc>
        <w:tc>
          <w:tcPr>
            <w:tcBorders>
              <w:top w:color="414149" w:space="0" w:sz="8" w:val="single"/>
              <w:left w:color="414149" w:space="0" w:sz="8" w:val="single"/>
              <w:bottom w:color="414149" w:space="0" w:sz="8" w:val="single"/>
              <w:right w:color="414149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  <w:tc>
          <w:tcPr>
            <w:tcBorders>
              <w:top w:color="414149" w:space="0" w:sz="8" w:val="single"/>
              <w:left w:color="414149" w:space="0" w:sz="8" w:val="single"/>
              <w:bottom w:color="414149" w:space="0" w:sz="8" w:val="single"/>
              <w:right w:color="414149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414149" w:space="0" w:sz="8" w:val="single"/>
              <w:left w:color="414149" w:space="0" w:sz="8" w:val="single"/>
              <w:bottom w:color="414149" w:space="0" w:sz="8" w:val="single"/>
              <w:right w:color="414149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Sprint 7</w:t>
            </w:r>
          </w:p>
        </w:tc>
        <w:tc>
          <w:tcPr>
            <w:tcBorders>
              <w:top w:color="414149" w:space="0" w:sz="8" w:val="single"/>
              <w:left w:color="414149" w:space="0" w:sz="8" w:val="single"/>
              <w:bottom w:color="414149" w:space="0" w:sz="8" w:val="single"/>
              <w:right w:color="414149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 estable</w:t>
            </w:r>
          </w:p>
        </w:tc>
        <w:tc>
          <w:tcPr>
            <w:tcBorders>
              <w:top w:color="414149" w:space="0" w:sz="8" w:val="single"/>
              <w:left w:color="414149" w:space="0" w:sz="8" w:val="single"/>
              <w:bottom w:color="414149" w:space="0" w:sz="8" w:val="single"/>
              <w:right w:color="414149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Desactualización si hay cambios</w:t>
            </w:r>
          </w:p>
        </w:tc>
        <w:tc>
          <w:tcPr>
            <w:tcBorders>
              <w:top w:color="414149" w:space="0" w:sz="8" w:val="single"/>
              <w:left w:color="414149" w:space="0" w:sz="8" w:val="single"/>
              <w:bottom w:color="414149" w:space="0" w:sz="8" w:val="single"/>
              <w:right w:color="414149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Finalizado y validado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14149" w:space="0" w:sz="8" w:val="single"/>
              <w:left w:color="414149" w:space="0" w:sz="8" w:val="single"/>
              <w:right w:color="414149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BP-13</w:t>
            </w:r>
          </w:p>
        </w:tc>
        <w:tc>
          <w:tcPr>
            <w:tcBorders>
              <w:top w:color="414149" w:space="0" w:sz="8" w:val="single"/>
              <w:left w:color="414149" w:space="0" w:sz="8" w:val="single"/>
              <w:right w:color="414149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Manual de Instalación/Configuración</w:t>
            </w:r>
          </w:p>
        </w:tc>
        <w:tc>
          <w:tcPr>
            <w:tcBorders>
              <w:top w:color="414149" w:space="0" w:sz="8" w:val="single"/>
              <w:left w:color="414149" w:space="0" w:sz="8" w:val="single"/>
              <w:right w:color="414149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Instrucciones para clonar, configurar Firebase y desplegar.</w:t>
            </w:r>
          </w:p>
        </w:tc>
        <w:tc>
          <w:tcPr>
            <w:tcBorders>
              <w:top w:color="414149" w:space="0" w:sz="8" w:val="single"/>
              <w:left w:color="414149" w:space="0" w:sz="8" w:val="single"/>
              <w:right w:color="414149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  <w:tc>
          <w:tcPr>
            <w:tcBorders>
              <w:top w:color="414149" w:space="0" w:sz="8" w:val="single"/>
              <w:left w:color="414149" w:space="0" w:sz="8" w:val="single"/>
              <w:right w:color="414149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414149" w:space="0" w:sz="8" w:val="single"/>
              <w:left w:color="414149" w:space="0" w:sz="8" w:val="single"/>
              <w:right w:color="414149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Fase Final</w:t>
            </w:r>
          </w:p>
        </w:tc>
        <w:tc>
          <w:tcPr>
            <w:tcBorders>
              <w:top w:color="414149" w:space="0" w:sz="8" w:val="single"/>
              <w:left w:color="414149" w:space="0" w:sz="8" w:val="single"/>
              <w:right w:color="414149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Repositorio estable</w:t>
            </w:r>
          </w:p>
        </w:tc>
        <w:tc>
          <w:tcPr>
            <w:tcBorders>
              <w:top w:color="414149" w:space="0" w:sz="8" w:val="single"/>
              <w:left w:color="414149" w:space="0" w:sz="8" w:val="single"/>
              <w:right w:color="414149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Información sensible en GitHub</w:t>
            </w:r>
          </w:p>
        </w:tc>
        <w:tc>
          <w:tcPr>
            <w:tcBorders>
              <w:top w:color="414149" w:space="0" w:sz="8" w:val="single"/>
              <w:left w:color="414149" w:space="0" w:sz="8" w:val="single"/>
              <w:right w:color="414149" w:space="0" w:sz="8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Pendiente – planificado para Sprint 10</w:t>
            </w:r>
          </w:p>
        </w:tc>
      </w:tr>
      <w:tr>
        <w:trPr>
          <w:cantSplit w:val="0"/>
          <w:tblHeader w:val="0"/>
        </w:trP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BP-14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Equidad en commits y documentación final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Verificar contribuciones balanceadas y formatear informe final.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Sprint 7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Código finalizado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Desequilibrio en equipo → nota afectada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Validado en GitHub</w:t>
            </w:r>
          </w:p>
        </w:tc>
      </w:tr>
    </w:tbl>
    <w:p w:rsidR="00000000" w:rsidDel="00000000" w:rsidP="00000000" w:rsidRDefault="00000000" w:rsidRPr="00000000" w14:paraId="000000E5">
      <w:pPr>
        <w:pStyle w:val="Heading1"/>
        <w:spacing w:after="20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7vzqkcvarolj" w:id="9"/>
      <w:bookmarkEnd w:id="9"/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8.6666666666665"/>
        <w:gridCol w:w="3008.6666666666665"/>
        <w:gridCol w:w="3008.6666666666665"/>
        <w:tblGridChange w:id="0">
          <w:tblGrid>
            <w:gridCol w:w="3008.6666666666665"/>
            <w:gridCol w:w="3008.6666666666665"/>
            <w:gridCol w:w="3008.6666666666665"/>
          </w:tblGrid>
        </w:tblGridChange>
      </w:tblGrid>
      <w:tr>
        <w:trPr>
          <w:cantSplit w:val="0"/>
          <w:trHeight w:val="680" w:hRule="atLeast"/>
          <w:tblHeader w:val="1"/>
        </w:trPr>
        <w:tc>
          <w:tcPr>
            <w:gridSpan w:val="3"/>
            <w:shd w:fill="f1f3f4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pStyle w:val="Heading2"/>
              <w:spacing w:after="120" w:before="120" w:line="240" w:lineRule="auto"/>
              <w:rPr/>
            </w:pPr>
            <w:bookmarkStart w:colFirst="0" w:colLast="0" w:name="_q467chfzgj0i" w:id="10"/>
            <w:bookmarkEnd w:id="10"/>
            <w:r w:rsidDel="00000000" w:rsidR="00000000" w:rsidRPr="00000000">
              <w:rPr>
                <w:rtl w:val="0"/>
              </w:rPr>
              <w:t xml:space="preserve">Resumen de Sprints</w:t>
            </w:r>
          </w:p>
        </w:tc>
      </w:tr>
      <w:tr>
        <w:trPr>
          <w:cantSplit w:val="0"/>
          <w:tblHeader w:val="0"/>
        </w:trP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Sprint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Tema principal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Items encargados 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</w:t>
            </w:r>
          </w:p>
        </w:tc>
        <w:tc>
          <w:tcPr>
            <w:shd w:fill="999999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 principal</w:t>
            </w:r>
          </w:p>
        </w:tc>
        <w:tc>
          <w:tcPr>
            <w:shd w:fill="999999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Items encargados</w:t>
            </w:r>
          </w:p>
        </w:tc>
      </w:tr>
      <w:tr>
        <w:trPr>
          <w:cantSplit w:val="0"/>
          <w:tblHeader w:val="0"/>
        </w:trP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Sprint 1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Migración técnica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BP-03</w:t>
            </w:r>
          </w:p>
        </w:tc>
      </w:tr>
      <w:tr>
        <w:trPr>
          <w:cantSplit w:val="0"/>
          <w:tblHeader w:val="0"/>
        </w:trP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Sprint 2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Autenticación y seguridad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BP-01, BP-02</w:t>
            </w:r>
          </w:p>
        </w:tc>
      </w:tr>
      <w:tr>
        <w:trPr>
          <w:cantSplit w:val="0"/>
          <w:tblHeader w:val="0"/>
        </w:trP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Sprint 3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Caja y conexión a datos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BP-04, BP-05</w:t>
            </w:r>
          </w:p>
        </w:tc>
      </w:tr>
      <w:tr>
        <w:trPr>
          <w:cantSplit w:val="0"/>
          <w:tblHeader w:val="0"/>
        </w:trP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Sprint 4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Inventario atómico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BP-06, BP-07</w:t>
            </w:r>
          </w:p>
        </w:tc>
      </w:tr>
      <w:tr>
        <w:trPr>
          <w:cantSplit w:val="0"/>
          <w:tblHeader w:val="0"/>
        </w:trP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Sprint 5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Estabilidad y pruebas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BP-09, (BP-10 postergado)</w:t>
            </w:r>
          </w:p>
        </w:tc>
      </w:tr>
      <w:tr>
        <w:trPr>
          <w:cantSplit w:val="0"/>
          <w:tblHeader w:val="0"/>
        </w:trP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Sprint 6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Flujo completo + seguridad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BP-08, BP-11</w:t>
            </w:r>
          </w:p>
        </w:tc>
      </w:tr>
      <w:tr>
        <w:trPr>
          <w:cantSplit w:val="0"/>
          <w:tblHeader w:val="0"/>
        </w:trP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Sprint 7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Documentación y entrega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BP-12, BP-14</w:t>
            </w:r>
          </w:p>
        </w:tc>
      </w:tr>
    </w:tbl>
    <w:p w:rsidR="00000000" w:rsidDel="00000000" w:rsidP="00000000" w:rsidRDefault="00000000" w:rsidRPr="00000000" w14:paraId="00000104">
      <w:pPr>
        <w:spacing w:after="20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spacing w:after="20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uetd1o8u991" w:id="11"/>
      <w:bookmarkEnd w:id="1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Conclusiones</w:t>
      </w:r>
    </w:p>
    <w:p w:rsidR="00000000" w:rsidDel="00000000" w:rsidP="00000000" w:rsidRDefault="00000000" w:rsidRPr="00000000" w14:paraId="00000106">
      <w:pPr>
        <w:numPr>
          <w:ilvl w:val="0"/>
          <w:numId w:val="3"/>
        </w:numPr>
        <w:spacing w:after="20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90% de los ítems “Must” se completaron en tiempo, validados con pruebas y retroalimentación docente.</w:t>
      </w:r>
    </w:p>
    <w:p w:rsidR="00000000" w:rsidDel="00000000" w:rsidP="00000000" w:rsidRDefault="00000000" w:rsidRPr="00000000" w14:paraId="00000107">
      <w:pPr>
        <w:numPr>
          <w:ilvl w:val="0"/>
          <w:numId w:val="3"/>
        </w:numPr>
        <w:spacing w:after="20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postergación estratégica de BP-10 permitió reforzar la estabilidad del núcleo del sistema.</w:t>
      </w:r>
    </w:p>
    <w:p w:rsidR="00000000" w:rsidDel="00000000" w:rsidP="00000000" w:rsidRDefault="00000000" w:rsidRPr="00000000" w14:paraId="00000108">
      <w:pPr>
        <w:numPr>
          <w:ilvl w:val="0"/>
          <w:numId w:val="3"/>
        </w:numPr>
        <w:spacing w:after="20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hay dependencias bloqueantes pendientes para la Fase Final.</w:t>
      </w:r>
    </w:p>
    <w:p w:rsidR="00000000" w:rsidDel="00000000" w:rsidP="00000000" w:rsidRDefault="00000000" w:rsidRPr="00000000" w14:paraId="00000109">
      <w:pPr>
        <w:numPr>
          <w:ilvl w:val="0"/>
          <w:numId w:val="3"/>
        </w:numPr>
        <w:spacing w:after="20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backlog sigue siendo dinámico: BP-13 y nuevos reportes se integrarán en sprints futuros.</w:t>
      </w:r>
    </w:p>
    <w:p w:rsidR="00000000" w:rsidDel="00000000" w:rsidP="00000000" w:rsidRDefault="00000000" w:rsidRPr="00000000" w14:paraId="0000010A">
      <w:pPr>
        <w:pStyle w:val="Heading1"/>
        <w:spacing w:after="20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o92l1vrz5a94" w:id="12"/>
      <w:bookmarkEnd w:id="1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Referencias</w:t>
      </w:r>
    </w:p>
    <w:p w:rsidR="00000000" w:rsidDel="00000000" w:rsidP="00000000" w:rsidRDefault="00000000" w:rsidRPr="00000000" w14:paraId="0000010B">
      <w:pPr>
        <w:numPr>
          <w:ilvl w:val="0"/>
          <w:numId w:val="3"/>
        </w:numPr>
        <w:spacing w:after="20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Guía de Gestión de Proyectos – Duoc UC (IL 2.2: Gestionar proyectos informáticos)</w:t>
      </w:r>
    </w:p>
    <w:p w:rsidR="00000000" w:rsidDel="00000000" w:rsidP="00000000" w:rsidRDefault="00000000" w:rsidRPr="00000000" w14:paraId="0000010C">
      <w:pPr>
        <w:numPr>
          <w:ilvl w:val="0"/>
          <w:numId w:val="3"/>
        </w:numPr>
        <w:spacing w:after="20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Scrum Guide (2020)</w:t>
      </w:r>
    </w:p>
    <w:p w:rsidR="00000000" w:rsidDel="00000000" w:rsidP="00000000" w:rsidRDefault="00000000" w:rsidRPr="00000000" w14:paraId="0000010D">
      <w:pPr>
        <w:numPr>
          <w:ilvl w:val="0"/>
          <w:numId w:val="3"/>
        </w:numPr>
        <w:spacing w:after="20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Documentación de Firebase Security Rules</w:t>
      </w:r>
      <w:r w:rsidDel="00000000" w:rsidR="00000000" w:rsidRPr="00000000">
        <w:rPr>
          <w:rtl w:val="0"/>
        </w:rPr>
      </w:r>
    </w:p>
    <w:sectPr>
      <w:headerReference r:id="rId15" w:type="default"/>
      <w:headerReference r:id="rId16" w:type="first"/>
      <w:footerReference r:id="rId17" w:type="default"/>
      <w:footerReference r:id="rId18" w:type="first"/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F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1">
    <w:pPr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E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2525260" cy="633413"/>
          <wp:effectExtent b="0" l="0" r="0" t="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525260" cy="6334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mailto:fern.monsalve@duocuc.cl" TargetMode="External"/><Relationship Id="rId10" Type="http://schemas.openxmlformats.org/officeDocument/2006/relationships/hyperlink" Target="mailto:fern.monsalve@duocuc.cl" TargetMode="External"/><Relationship Id="rId13" Type="http://schemas.openxmlformats.org/officeDocument/2006/relationships/hyperlink" Target="mailto:fern.monsalve@duocuc.cl" TargetMode="External"/><Relationship Id="rId12" Type="http://schemas.openxmlformats.org/officeDocument/2006/relationships/hyperlink" Target="mailto:matia.gutierrezb@duocuc.c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matia.gutierrezb@duocuc.cl" TargetMode="External"/><Relationship Id="rId15" Type="http://schemas.openxmlformats.org/officeDocument/2006/relationships/header" Target="header1.xml"/><Relationship Id="rId14" Type="http://schemas.openxmlformats.org/officeDocument/2006/relationships/hyperlink" Target="mailto:matia.gutierrezb@duocuc.cl" TargetMode="External"/><Relationship Id="rId17" Type="http://schemas.openxmlformats.org/officeDocument/2006/relationships/footer" Target="footer1.xml"/><Relationship Id="rId16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18" Type="http://schemas.openxmlformats.org/officeDocument/2006/relationships/footer" Target="footer2.xm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