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00" w:line="360" w:lineRule="auto"/>
        <w:jc w:val="both"/>
        <w:rPr>
          <w:rFonts w:ascii="Arial" w:cs="Arial" w:eastAsia="Arial" w:hAnsi="Arial"/>
          <w:color w:val="2e75b5"/>
        </w:rPr>
      </w:pPr>
      <w:bookmarkStart w:colFirst="0" w:colLast="0" w:name="_heading=h.cotego6w4fzp" w:id="0"/>
      <w:bookmarkEnd w:id="0"/>
      <w:r w:rsidDel="00000000" w:rsidR="00000000" w:rsidRPr="00000000">
        <w:rPr>
          <w:rFonts w:ascii="Arial" w:cs="Arial" w:eastAsia="Arial" w:hAnsi="Arial"/>
          <w:color w:val="2e75b5"/>
          <w:rtl w:val="0"/>
        </w:rPr>
        <w:t xml:space="preserve">Pauta de Autoevaluación de Competencias </w:t>
      </w:r>
    </w:p>
    <w:p w:rsidR="00000000" w:rsidDel="00000000" w:rsidP="00000000" w:rsidRDefault="00000000" w:rsidRPr="00000000" w14:paraId="00000002">
      <w:pPr>
        <w:spacing w:after="200" w:line="360" w:lineRule="auto"/>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03">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color w:val="000000"/>
          <w:sz w:val="24"/>
          <w:szCs w:val="24"/>
          <w:rtl w:val="0"/>
        </w:rPr>
        <w:t xml:space="preserve">Objetivo: </w:t>
      </w:r>
      <w:r w:rsidDel="00000000" w:rsidR="00000000" w:rsidRPr="00000000">
        <w:rPr>
          <w:rtl w:val="0"/>
        </w:rPr>
      </w:r>
    </w:p>
    <w:p w:rsidR="00000000" w:rsidDel="00000000" w:rsidP="00000000" w:rsidRDefault="00000000" w:rsidRPr="00000000" w14:paraId="00000004">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5">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95" w:right="0" w:hanging="360"/>
        <w:jc w:val="both"/>
        <w:rPr>
          <w:rFonts w:ascii="Arial" w:cs="Arial" w:eastAsia="Arial" w:hAnsi="Arial"/>
          <w:i w:val="0"/>
          <w:smallCaps w:val="0"/>
          <w:strike w:val="0"/>
          <w:color w:val="767171"/>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95" w:right="0" w:hanging="360"/>
        <w:jc w:val="both"/>
        <w:rPr>
          <w:rFonts w:ascii="Arial" w:cs="Arial" w:eastAsia="Arial" w:hAnsi="Arial"/>
          <w:i w:val="0"/>
          <w:smallCaps w:val="0"/>
          <w:strike w:val="0"/>
          <w:color w:val="767171"/>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Piensa en tu proceso de aprendizaje durante el tiempo que has </w:t>
      </w:r>
      <w:r w:rsidDel="00000000" w:rsidR="00000000" w:rsidRPr="00000000">
        <w:rPr>
          <w:rFonts w:ascii="Arial" w:cs="Arial" w:eastAsia="Arial" w:hAnsi="Arial"/>
          <w:sz w:val="24"/>
          <w:szCs w:val="24"/>
          <w:rtl w:val="0"/>
        </w:rPr>
        <w:t xml:space="preserve">estudiado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 Duoc UC y evalúa el nivel de logro que </w:t>
      </w:r>
      <w:r w:rsidDel="00000000" w:rsidR="00000000" w:rsidRPr="00000000">
        <w:rPr>
          <w:rFonts w:ascii="Arial" w:cs="Arial" w:eastAsia="Arial" w:hAnsi="Arial"/>
          <w:sz w:val="24"/>
          <w:szCs w:val="24"/>
          <w:rtl w:val="0"/>
        </w:rPr>
        <w:t xml:space="preserve">has alcanzado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 cada competencia de tu plan de estudio.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95" w:right="0" w:hanging="360"/>
        <w:jc w:val="both"/>
        <w:rPr>
          <w:rFonts w:ascii="Arial" w:cs="Arial" w:eastAsia="Arial" w:hAnsi="Arial"/>
          <w:i w:val="0"/>
          <w:smallCaps w:val="0"/>
          <w:strike w:val="0"/>
          <w:color w:val="767171"/>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A">
            <w:pPr>
              <w:spacing w:after="20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Categoría</w:t>
            </w:r>
          </w:p>
        </w:tc>
        <w:tc>
          <w:tcPr/>
          <w:p w:rsidR="00000000" w:rsidDel="00000000" w:rsidP="00000000" w:rsidRDefault="00000000" w:rsidRPr="00000000" w14:paraId="0000000B">
            <w:pPr>
              <w:spacing w:after="20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r>
      <w:tr>
        <w:trPr>
          <w:cantSplit w:val="0"/>
          <w:trHeight w:val="519"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D">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color w:val="000000"/>
                <w:sz w:val="24"/>
                <w:szCs w:val="24"/>
                <w:rtl w:val="0"/>
              </w:rPr>
              <w:t xml:space="preserve">Tengo un excelente dominio en esta competencia y no necesito </w:t>
            </w:r>
            <w:r w:rsidDel="00000000" w:rsidR="00000000" w:rsidRPr="00000000">
              <w:rPr>
                <w:rFonts w:ascii="Arial" w:cs="Arial" w:eastAsia="Arial" w:hAnsi="Arial"/>
                <w:sz w:val="24"/>
                <w:szCs w:val="24"/>
                <w:rtl w:val="0"/>
              </w:rPr>
              <w:t xml:space="preserve">reforzar</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0F">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1">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3">
            <w:pPr>
              <w:spacing w:after="200" w:line="360" w:lineRule="auto"/>
              <w:jc w:val="both"/>
              <w:rPr>
                <w:rFonts w:ascii="Arial" w:cs="Arial" w:eastAsia="Arial" w:hAnsi="Arial"/>
                <w:color w:val="767171"/>
                <w:sz w:val="24"/>
                <w:szCs w:val="24"/>
              </w:rPr>
            </w:pPr>
            <w:r w:rsidDel="00000000" w:rsidR="00000000" w:rsidRPr="00000000">
              <w:rPr>
                <w:rFonts w:ascii="Arial" w:cs="Arial" w:eastAsia="Arial" w:hAnsi="Arial"/>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95" w:right="0" w:hanging="360"/>
        <w:jc w:val="both"/>
        <w:rPr>
          <w:rFonts w:ascii="Arial" w:cs="Arial" w:eastAsia="Arial" w:hAnsi="Arial"/>
          <w:i w:val="0"/>
          <w:smallCaps w:val="0"/>
          <w:strike w:val="0"/>
          <w:color w:val="767171"/>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Escuela</w:t>
            </w:r>
            <w:r w:rsidDel="00000000" w:rsidR="00000000" w:rsidRPr="00000000">
              <w:rPr>
                <w:rFonts w:ascii="Arial" w:cs="Arial" w:eastAsia="Arial" w:hAnsi="Arial"/>
                <w:sz w:val="24"/>
                <w:szCs w:val="24"/>
                <w:rtl w:val="0"/>
              </w:rPr>
              <w:t xml:space="preserve"> de Informática y telecomunicaciones</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color w:val="767171"/>
                <w:sz w:val="24"/>
                <w:szCs w:val="24"/>
                <w:rtl w:val="0"/>
              </w:rPr>
              <w:t xml:space="preserve">Fernanda Salomé Monsalve Luco</w:t>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Fonts w:ascii="Arial" w:cs="Arial" w:eastAsia="Arial" w:hAnsi="Arial"/>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2F">
            <w:pPr>
              <w:spacing w:after="200" w:line="240" w:lineRule="auto"/>
              <w:jc w:val="center"/>
              <w:rPr>
                <w:b w:val="1"/>
                <w:sz w:val="20"/>
                <w:szCs w:val="20"/>
              </w:rPr>
            </w:pPr>
            <w:r w:rsidDel="00000000" w:rsidR="00000000" w:rsidRPr="00000000">
              <w:rPr>
                <w:b w:val="1"/>
                <w:sz w:val="20"/>
                <w:szCs w:val="20"/>
                <w:rtl w:val="0"/>
              </w:rPr>
              <w:t xml:space="preserve">Competencias Perfil de egreso</w:t>
            </w:r>
          </w:p>
        </w:tc>
        <w:tc>
          <w:tcPr>
            <w:gridSpan w:val="5"/>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0">
            <w:pPr>
              <w:spacing w:after="200" w:line="240" w:lineRule="auto"/>
              <w:jc w:val="center"/>
              <w:rPr>
                <w:b w:val="1"/>
                <w:sz w:val="20"/>
                <w:szCs w:val="20"/>
              </w:rPr>
            </w:pPr>
            <w:r w:rsidDel="00000000" w:rsidR="00000000" w:rsidRPr="00000000">
              <w:rPr>
                <w:b w:val="1"/>
                <w:sz w:val="20"/>
                <w:szCs w:val="20"/>
                <w:rtl w:val="0"/>
              </w:rPr>
              <w:t xml:space="preserve">Nivel de logro</w:t>
            </w:r>
          </w:p>
        </w:tc>
        <w:tc>
          <w:tcPr>
            <w:vMerge w:val="restart"/>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5">
            <w:pPr>
              <w:spacing w:after="200" w:line="240" w:lineRule="auto"/>
              <w:jc w:val="center"/>
              <w:rPr>
                <w:b w:val="1"/>
                <w:sz w:val="20"/>
                <w:szCs w:val="20"/>
              </w:rPr>
            </w:pPr>
            <w:bookmarkStart w:colFirst="0" w:colLast="0" w:name="_heading=h.8idv08c2bihe" w:id="1"/>
            <w:bookmarkEnd w:id="1"/>
            <w:r w:rsidDel="00000000" w:rsidR="00000000" w:rsidRPr="00000000">
              <w:rPr>
                <w:b w:val="1"/>
                <w:sz w:val="20"/>
                <w:szCs w:val="20"/>
                <w:rtl w:val="0"/>
              </w:rPr>
              <w:t xml:space="preserve">Comentarios</w:t>
            </w:r>
          </w:p>
        </w:tc>
      </w:tr>
      <w:tr>
        <w:trPr>
          <w:cantSplit w:val="0"/>
          <w:trHeight w:val="870" w:hRule="atLeast"/>
          <w:tblHeader w:val="0"/>
        </w:trPr>
        <w:tc>
          <w:tcPr>
            <w:vMerge w:val="continue"/>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7">
            <w:pPr>
              <w:spacing w:after="200" w:line="240" w:lineRule="auto"/>
              <w:jc w:val="center"/>
              <w:rPr>
                <w:b w:val="1"/>
                <w:sz w:val="20"/>
                <w:szCs w:val="20"/>
              </w:rPr>
            </w:pPr>
            <w:r w:rsidDel="00000000" w:rsidR="00000000" w:rsidRPr="00000000">
              <w:rPr>
                <w:b w:val="1"/>
                <w:sz w:val="20"/>
                <w:szCs w:val="20"/>
                <w:rtl w:val="0"/>
              </w:rPr>
              <w:t xml:space="preserve">Excelente Dominio</w:t>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8">
            <w:pPr>
              <w:spacing w:after="200" w:line="240" w:lineRule="auto"/>
              <w:jc w:val="center"/>
              <w:rPr>
                <w:b w:val="1"/>
                <w:sz w:val="20"/>
                <w:szCs w:val="20"/>
              </w:rPr>
            </w:pPr>
            <w:r w:rsidDel="00000000" w:rsidR="00000000" w:rsidRPr="00000000">
              <w:rPr>
                <w:b w:val="1"/>
                <w:sz w:val="20"/>
                <w:szCs w:val="20"/>
                <w:rtl w:val="0"/>
              </w:rPr>
              <w:t xml:space="preserve"> Alto Dominio</w:t>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9">
            <w:pPr>
              <w:spacing w:after="200" w:line="240" w:lineRule="auto"/>
              <w:jc w:val="center"/>
              <w:rPr>
                <w:b w:val="1"/>
                <w:sz w:val="20"/>
                <w:szCs w:val="20"/>
              </w:rPr>
            </w:pPr>
            <w:r w:rsidDel="00000000" w:rsidR="00000000" w:rsidRPr="00000000">
              <w:rPr>
                <w:b w:val="1"/>
                <w:sz w:val="20"/>
                <w:szCs w:val="20"/>
                <w:rtl w:val="0"/>
              </w:rPr>
              <w:t xml:space="preserve">Dominio Aceptable</w:t>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A">
            <w:pPr>
              <w:spacing w:after="200" w:line="240" w:lineRule="auto"/>
              <w:jc w:val="center"/>
              <w:rPr>
                <w:b w:val="1"/>
                <w:sz w:val="20"/>
                <w:szCs w:val="20"/>
              </w:rPr>
            </w:pPr>
            <w:r w:rsidDel="00000000" w:rsidR="00000000" w:rsidRPr="00000000">
              <w:rPr>
                <w:b w:val="1"/>
                <w:sz w:val="20"/>
                <w:szCs w:val="20"/>
                <w:rtl w:val="0"/>
              </w:rPr>
              <w:t xml:space="preserve">Dominio Insuficiente </w:t>
            </w:r>
          </w:p>
        </w:tc>
        <w:tc>
          <w:tcPr>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B">
            <w:pPr>
              <w:spacing w:after="200" w:line="240" w:lineRule="auto"/>
              <w:jc w:val="center"/>
              <w:rPr>
                <w:b w:val="1"/>
                <w:sz w:val="20"/>
                <w:szCs w:val="20"/>
              </w:rPr>
            </w:pPr>
            <w:r w:rsidDel="00000000" w:rsidR="00000000" w:rsidRPr="00000000">
              <w:rPr>
                <w:b w:val="1"/>
                <w:sz w:val="20"/>
                <w:szCs w:val="20"/>
                <w:rtl w:val="0"/>
              </w:rPr>
              <w:t xml:space="preserve">Dominio no logrado</w:t>
            </w:r>
          </w:p>
        </w:tc>
        <w:tc>
          <w:tcPr>
            <w:vMerge w:val="continue"/>
            <w:tcBorders>
              <w:top w:color="999999" w:space="0" w:sz="8" w:val="single"/>
              <w:left w:color="999999" w:space="0" w:sz="8" w:val="single"/>
              <w:bottom w:color="999999" w:space="0" w:sz="8" w:val="single"/>
              <w:right w:color="999999" w:space="0" w:sz="8" w:val="single"/>
            </w:tcBorders>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591"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3D">
            <w:pPr>
              <w:spacing w:after="200" w:line="240" w:lineRule="auto"/>
              <w:jc w:val="center"/>
              <w:rPr>
                <w:color w:val="ff0000"/>
                <w:sz w:val="20"/>
                <w:szCs w:val="20"/>
              </w:rPr>
            </w:pPr>
            <w:r w:rsidDel="00000000" w:rsidR="00000000" w:rsidRPr="00000000">
              <w:rPr>
                <w:color w:val="ff0000"/>
                <w:sz w:val="20"/>
                <w:szCs w:val="20"/>
                <w:rtl w:val="0"/>
              </w:rPr>
              <w:t xml:space="preserve">Administración de la configuración de ambientes, servicios de aplicaciones y bases de datos</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3E">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3F">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0">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1">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2">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3">
            <w:pPr>
              <w:spacing w:after="200" w:line="240" w:lineRule="auto"/>
              <w:jc w:val="center"/>
              <w:rPr>
                <w:sz w:val="20"/>
                <w:szCs w:val="20"/>
              </w:rPr>
            </w:pPr>
            <w:r w:rsidDel="00000000" w:rsidR="00000000" w:rsidRPr="00000000">
              <w:rPr>
                <w:sz w:val="20"/>
                <w:szCs w:val="20"/>
                <w:rtl w:val="0"/>
              </w:rPr>
              <w:t xml:space="preserve">El proyecto considera la configuración de entornos y el uso de bases de datos; sin embargo, aún no define claramente los protocolos de seguridad, los estándares de la industria ni un proceso de recuperación ante fallos. Es factible, pero requiere seguir definiendo las pruebas y la documentación técnica.</w:t>
            </w:r>
          </w:p>
        </w:tc>
      </w:tr>
      <w:tr>
        <w:trPr>
          <w:cantSplit w:val="0"/>
          <w:trHeight w:val="576"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4">
            <w:pPr>
              <w:spacing w:after="200" w:line="240" w:lineRule="auto"/>
              <w:jc w:val="center"/>
              <w:rPr>
                <w:color w:val="ff0000"/>
                <w:sz w:val="20"/>
                <w:szCs w:val="20"/>
              </w:rPr>
            </w:pPr>
            <w:r w:rsidDel="00000000" w:rsidR="00000000" w:rsidRPr="00000000">
              <w:rPr>
                <w:color w:val="ff0000"/>
                <w:sz w:val="20"/>
                <w:szCs w:val="20"/>
                <w:rtl w:val="0"/>
              </w:rPr>
              <w:t xml:space="preserve">Ofrecer propuestas de solución informática analizando de forma integral los procesos</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5">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6">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7">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8">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9">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A">
            <w:pPr>
              <w:spacing w:after="200" w:line="240" w:lineRule="auto"/>
              <w:jc w:val="center"/>
              <w:rPr>
                <w:sz w:val="20"/>
                <w:szCs w:val="20"/>
              </w:rPr>
            </w:pPr>
            <w:r w:rsidDel="00000000" w:rsidR="00000000" w:rsidRPr="00000000">
              <w:rPr>
                <w:sz w:val="20"/>
                <w:szCs w:val="20"/>
                <w:rtl w:val="0"/>
              </w:rPr>
              <w:t xml:space="preserve">La problemática está claramente identificada y se proponen mejoras concretas, aunque no se ha realizado un modelado formal ni una evaluación de impactos cuantitativa. Presenta un diagnóstico claro, pero carece de una trazabilidad completa desde el problema hasta la solución técnica.</w:t>
            </w:r>
          </w:p>
        </w:tc>
      </w:tr>
      <w:tr>
        <w:trPr>
          <w:cantSplit w:val="0"/>
          <w:trHeight w:val="591"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4B">
            <w:pPr>
              <w:spacing w:after="200" w:line="240" w:lineRule="auto"/>
              <w:jc w:val="center"/>
              <w:rPr>
                <w:color w:val="ff0000"/>
                <w:sz w:val="20"/>
                <w:szCs w:val="20"/>
              </w:rPr>
            </w:pPr>
            <w:r w:rsidDel="00000000" w:rsidR="00000000" w:rsidRPr="00000000">
              <w:rPr>
                <w:rtl w:val="0"/>
              </w:rPr>
            </w:r>
          </w:p>
          <w:tbl>
            <w:tblPr>
              <w:tblStyle w:val="Table4"/>
              <w:tblW w:w="172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000000000002"/>
              <w:tblGridChange w:id="0">
                <w:tblGrid>
                  <w:gridCol w:w="1725.000000000000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00" w:line="240" w:lineRule="auto"/>
                    <w:jc w:val="center"/>
                    <w:rPr>
                      <w:color w:val="ff0000"/>
                      <w:sz w:val="20"/>
                      <w:szCs w:val="20"/>
                    </w:rPr>
                  </w:pPr>
                  <w:r w:rsidDel="00000000" w:rsidR="00000000" w:rsidRPr="00000000">
                    <w:rPr>
                      <w:color w:val="ff0000"/>
                      <w:sz w:val="20"/>
                      <w:szCs w:val="20"/>
                      <w:rtl w:val="0"/>
                    </w:rPr>
                    <w:t xml:space="preserve">Construir programas y rutinas de variada complejidad con buenas prácticas y tecnologías de mercado</w:t>
                  </w:r>
                </w:p>
              </w:tc>
            </w:tr>
          </w:tbl>
          <w:p w:rsidR="00000000" w:rsidDel="00000000" w:rsidP="00000000" w:rsidRDefault="00000000" w:rsidRPr="00000000" w14:paraId="0000004D">
            <w:pPr>
              <w:spacing w:after="200" w:line="240" w:lineRule="auto"/>
              <w:jc w:val="center"/>
              <w:rPr>
                <w:color w:val="ff0000"/>
                <w:sz w:val="20"/>
                <w:szCs w:val="20"/>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00" w:line="240" w:lineRule="auto"/>
                    <w:jc w:val="center"/>
                    <w:rPr>
                      <w:color w:val="ff0000"/>
                      <w:sz w:val="20"/>
                      <w:szCs w:val="20"/>
                    </w:rPr>
                  </w:pPr>
                  <w:r w:rsidDel="00000000" w:rsidR="00000000" w:rsidRPr="00000000">
                    <w:rPr>
                      <w:rtl w:val="0"/>
                    </w:rPr>
                  </w:r>
                </w:p>
              </w:tc>
            </w:tr>
          </w:tbl>
          <w:p w:rsidR="00000000" w:rsidDel="00000000" w:rsidP="00000000" w:rsidRDefault="00000000" w:rsidRPr="00000000" w14:paraId="0000004F">
            <w:pPr>
              <w:spacing w:after="200" w:line="240" w:lineRule="auto"/>
              <w:jc w:val="center"/>
              <w:rPr>
                <w:color w:val="ff0000"/>
                <w:sz w:val="20"/>
                <w:szCs w:val="20"/>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00" w:line="240" w:lineRule="auto"/>
                    <w:jc w:val="center"/>
                    <w:rPr>
                      <w:color w:val="ff0000"/>
                      <w:sz w:val="20"/>
                      <w:szCs w:val="20"/>
                    </w:rPr>
                  </w:pPr>
                  <w:r w:rsidDel="00000000" w:rsidR="00000000" w:rsidRPr="00000000">
                    <w:rPr>
                      <w:rtl w:val="0"/>
                    </w:rPr>
                  </w:r>
                </w:p>
              </w:tc>
            </w:tr>
          </w:tbl>
          <w:p w:rsidR="00000000" w:rsidDel="00000000" w:rsidP="00000000" w:rsidRDefault="00000000" w:rsidRPr="00000000" w14:paraId="00000051">
            <w:pPr>
              <w:spacing w:after="200" w:line="240" w:lineRule="auto"/>
              <w:jc w:val="center"/>
              <w:rPr>
                <w:color w:val="ff0000"/>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2">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3">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4">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5">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6">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7">
            <w:pPr>
              <w:spacing w:after="200" w:line="240" w:lineRule="auto"/>
              <w:jc w:val="center"/>
              <w:rPr>
                <w:sz w:val="20"/>
                <w:szCs w:val="20"/>
              </w:rPr>
            </w:pPr>
            <w:r w:rsidDel="00000000" w:rsidR="00000000" w:rsidRPr="00000000">
              <w:rPr>
                <w:sz w:val="20"/>
                <w:szCs w:val="20"/>
                <w:rtl w:val="0"/>
              </w:rPr>
              <w:t xml:space="preserve">Hace referencia al uso de buenas prácticas y tecnologías, pero no detalla el stack tecnológico completo ni los criterios de selección. Presenta carencias en la definición de planes de pruebas y métricas de calidad.</w:t>
            </w:r>
          </w:p>
        </w:tc>
      </w:tr>
      <w:tr>
        <w:trPr>
          <w:cantSplit w:val="0"/>
          <w:trHeight w:val="591"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8">
            <w:pPr>
              <w:spacing w:after="200" w:line="240" w:lineRule="auto"/>
              <w:jc w:val="center"/>
              <w:rPr>
                <w:color w:val="ff0000"/>
                <w:sz w:val="20"/>
                <w:szCs w:val="20"/>
              </w:rPr>
            </w:pPr>
            <w:r w:rsidDel="00000000" w:rsidR="00000000" w:rsidRPr="00000000">
              <w:rPr>
                <w:color w:val="ff0000"/>
                <w:sz w:val="20"/>
                <w:szCs w:val="20"/>
                <w:rtl w:val="0"/>
              </w:rPr>
              <w:t xml:space="preserve">Trabajo en equipo</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9">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A">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B">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C">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D">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5E">
            <w:pPr>
              <w:spacing w:after="200" w:line="240" w:lineRule="auto"/>
              <w:jc w:val="center"/>
              <w:rPr>
                <w:sz w:val="20"/>
                <w:szCs w:val="20"/>
              </w:rPr>
            </w:pPr>
            <w:r w:rsidDel="00000000" w:rsidR="00000000" w:rsidRPr="00000000">
              <w:rPr>
                <w:rtl w:val="0"/>
              </w:rPr>
            </w:r>
          </w:p>
          <w:tbl>
            <w:tblPr>
              <w:tblStyle w:val="Table7"/>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00" w:line="240" w:lineRule="auto"/>
                    <w:jc w:val="center"/>
                    <w:rPr>
                      <w:sz w:val="20"/>
                      <w:szCs w:val="20"/>
                    </w:rPr>
                  </w:pPr>
                  <w:r w:rsidDel="00000000" w:rsidR="00000000" w:rsidRPr="00000000">
                    <w:rPr>
                      <w:sz w:val="20"/>
                      <w:szCs w:val="20"/>
                      <w:rtl w:val="0"/>
                    </w:rPr>
                    <w:t xml:space="preserve">Se evidencia colaboración y experiencia previa en entornos similares; no obstante, el documento no especifica mecanismos formales de coordinación, como herramientas colaborativas o metodologías ágiles implementadas. La dependencia de la experiencia previa limita la adaptabilidad a equipos nuevos.</w:t>
                  </w:r>
                </w:p>
              </w:tc>
            </w:tr>
          </w:tbl>
          <w:p w:rsidR="00000000" w:rsidDel="00000000" w:rsidP="00000000" w:rsidRDefault="00000000" w:rsidRPr="00000000" w14:paraId="00000060">
            <w:pPr>
              <w:spacing w:after="200" w:line="240" w:lineRule="auto"/>
              <w:jc w:val="center"/>
              <w:rPr>
                <w:sz w:val="20"/>
                <w:szCs w:val="20"/>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00" w:line="240" w:lineRule="auto"/>
                    <w:jc w:val="center"/>
                    <w:rPr>
                      <w:sz w:val="20"/>
                      <w:szCs w:val="20"/>
                    </w:rPr>
                  </w:pPr>
                  <w:r w:rsidDel="00000000" w:rsidR="00000000" w:rsidRPr="00000000">
                    <w:rPr>
                      <w:rtl w:val="0"/>
                    </w:rPr>
                  </w:r>
                </w:p>
              </w:tc>
            </w:tr>
          </w:tbl>
          <w:p w:rsidR="00000000" w:rsidDel="00000000" w:rsidP="00000000" w:rsidRDefault="00000000" w:rsidRPr="00000000" w14:paraId="00000062">
            <w:pPr>
              <w:spacing w:after="200" w:line="240" w:lineRule="auto"/>
              <w:jc w:val="center"/>
              <w:rPr>
                <w:sz w:val="20"/>
                <w:szCs w:val="20"/>
              </w:rPr>
            </w:pPr>
            <w:r w:rsidDel="00000000" w:rsidR="00000000" w:rsidRPr="00000000">
              <w:rPr>
                <w:rtl w:val="0"/>
              </w:rPr>
            </w:r>
          </w:p>
        </w:tc>
      </w:tr>
      <w:tr>
        <w:trPr>
          <w:cantSplit w:val="0"/>
          <w:trHeight w:val="591"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3">
            <w:pPr>
              <w:spacing w:after="200" w:line="240" w:lineRule="auto"/>
              <w:jc w:val="center"/>
              <w:rPr>
                <w:color w:val="ff0000"/>
                <w:sz w:val="20"/>
                <w:szCs w:val="20"/>
              </w:rPr>
            </w:pPr>
            <w:r w:rsidDel="00000000" w:rsidR="00000000" w:rsidRPr="00000000">
              <w:rPr>
                <w:color w:val="ff0000"/>
                <w:sz w:val="20"/>
                <w:szCs w:val="20"/>
                <w:rtl w:val="0"/>
              </w:rPr>
              <w:t xml:space="preserve">Comunicacion efectiva</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4">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5">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6">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7">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8">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9">
            <w:pPr>
              <w:spacing w:after="200" w:line="240" w:lineRule="auto"/>
              <w:jc w:val="center"/>
              <w:rPr>
                <w:sz w:val="20"/>
                <w:szCs w:val="20"/>
              </w:rPr>
            </w:pPr>
            <w:r w:rsidDel="00000000" w:rsidR="00000000" w:rsidRPr="00000000">
              <w:rPr>
                <w:rtl w:val="0"/>
              </w:rPr>
            </w:r>
          </w:p>
          <w:tbl>
            <w:tblPr>
              <w:tblStyle w:val="Table9"/>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00" w:line="240" w:lineRule="auto"/>
                    <w:jc w:val="center"/>
                    <w:rPr>
                      <w:sz w:val="20"/>
                      <w:szCs w:val="20"/>
                    </w:rPr>
                  </w:pPr>
                  <w:r w:rsidDel="00000000" w:rsidR="00000000" w:rsidRPr="00000000">
                    <w:rPr>
                      <w:sz w:val="20"/>
                      <w:szCs w:val="20"/>
                      <w:rtl w:val="0"/>
                    </w:rPr>
                    <w:t xml:space="preserve">La redacción y la estructura del plan son claras, pero no incluye un plan de comunicación técnica con los stakeholders ni formatos estandarizados de reporte. No presenta evidencias de cómo se comunicarán los avances y problemas durante el desarrollo.</w:t>
                  </w:r>
                </w:p>
              </w:tc>
            </w:tr>
          </w:tbl>
          <w:p w:rsidR="00000000" w:rsidDel="00000000" w:rsidP="00000000" w:rsidRDefault="00000000" w:rsidRPr="00000000" w14:paraId="0000006B">
            <w:pPr>
              <w:spacing w:after="200" w:line="240" w:lineRule="auto"/>
              <w:jc w:val="center"/>
              <w:rPr>
                <w:sz w:val="20"/>
                <w:szCs w:val="20"/>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00" w:line="240" w:lineRule="auto"/>
                    <w:jc w:val="center"/>
                    <w:rPr>
                      <w:sz w:val="20"/>
                      <w:szCs w:val="20"/>
                    </w:rPr>
                  </w:pPr>
                  <w:r w:rsidDel="00000000" w:rsidR="00000000" w:rsidRPr="00000000">
                    <w:rPr>
                      <w:rtl w:val="0"/>
                    </w:rPr>
                  </w:r>
                </w:p>
              </w:tc>
            </w:tr>
          </w:tbl>
          <w:p w:rsidR="00000000" w:rsidDel="00000000" w:rsidP="00000000" w:rsidRDefault="00000000" w:rsidRPr="00000000" w14:paraId="0000006D">
            <w:pPr>
              <w:spacing w:after="200" w:line="240" w:lineRule="auto"/>
              <w:jc w:val="center"/>
              <w:rPr>
                <w:sz w:val="20"/>
                <w:szCs w:val="20"/>
              </w:rPr>
            </w:pPr>
            <w:r w:rsidDel="00000000" w:rsidR="00000000" w:rsidRPr="00000000">
              <w:rPr>
                <w:rtl w:val="0"/>
              </w:rPr>
            </w:r>
          </w:p>
        </w:tc>
      </w:tr>
      <w:tr>
        <w:trPr>
          <w:cantSplit w:val="0"/>
          <w:trHeight w:val="576"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6E">
            <w:pPr>
              <w:spacing w:after="200" w:line="240" w:lineRule="auto"/>
              <w:jc w:val="center"/>
              <w:rPr>
                <w:color w:val="ff0000"/>
                <w:sz w:val="20"/>
                <w:szCs w:val="20"/>
              </w:rPr>
            </w:pPr>
            <w:r w:rsidDel="00000000" w:rsidR="00000000" w:rsidRPr="00000000">
              <w:rPr>
                <w:rtl w:val="0"/>
              </w:rPr>
            </w:r>
          </w:p>
          <w:tbl>
            <w:tblPr>
              <w:tblStyle w:val="Table11"/>
              <w:tblW w:w="172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000000000002"/>
              <w:tblGridChange w:id="0">
                <w:tblGrid>
                  <w:gridCol w:w="172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00" w:line="240" w:lineRule="auto"/>
                    <w:jc w:val="center"/>
                    <w:rPr>
                      <w:color w:val="ff0000"/>
                      <w:sz w:val="20"/>
                      <w:szCs w:val="20"/>
                    </w:rPr>
                  </w:pPr>
                  <w:r w:rsidDel="00000000" w:rsidR="00000000" w:rsidRPr="00000000">
                    <w:rPr>
                      <w:color w:val="ff0000"/>
                      <w:sz w:val="20"/>
                      <w:szCs w:val="20"/>
                      <w:rtl w:val="0"/>
                    </w:rPr>
                    <w:t xml:space="preserve">Gestión del tiempo y cumplimiento de plazos</w:t>
                  </w:r>
                </w:p>
              </w:tc>
            </w:tr>
          </w:tbl>
          <w:p w:rsidR="00000000" w:rsidDel="00000000" w:rsidP="00000000" w:rsidRDefault="00000000" w:rsidRPr="00000000" w14:paraId="00000070">
            <w:pPr>
              <w:spacing w:after="200" w:line="240" w:lineRule="auto"/>
              <w:jc w:val="center"/>
              <w:rPr>
                <w:color w:val="ff0000"/>
                <w:sz w:val="20"/>
                <w:szCs w:val="20"/>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00" w:line="240" w:lineRule="auto"/>
                    <w:jc w:val="center"/>
                    <w:rPr>
                      <w:color w:val="ff0000"/>
                      <w:sz w:val="20"/>
                      <w:szCs w:val="20"/>
                    </w:rPr>
                  </w:pPr>
                  <w:r w:rsidDel="00000000" w:rsidR="00000000" w:rsidRPr="00000000">
                    <w:rPr>
                      <w:rtl w:val="0"/>
                    </w:rPr>
                  </w:r>
                </w:p>
              </w:tc>
            </w:tr>
          </w:tbl>
          <w:p w:rsidR="00000000" w:rsidDel="00000000" w:rsidP="00000000" w:rsidRDefault="00000000" w:rsidRPr="00000000" w14:paraId="00000072">
            <w:pPr>
              <w:spacing w:after="200" w:line="240" w:lineRule="auto"/>
              <w:jc w:val="center"/>
              <w:rPr>
                <w:color w:val="ff0000"/>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3">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4">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5">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6">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7">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8">
            <w:pPr>
              <w:spacing w:after="200" w:line="240" w:lineRule="auto"/>
              <w:jc w:val="center"/>
              <w:rPr>
                <w:sz w:val="20"/>
                <w:szCs w:val="20"/>
              </w:rPr>
            </w:pPr>
            <w:r w:rsidDel="00000000" w:rsidR="00000000" w:rsidRPr="00000000">
              <w:rPr>
                <w:rtl w:val="0"/>
              </w:rPr>
            </w:r>
          </w:p>
          <w:tbl>
            <w:tblPr>
              <w:tblStyle w:val="Table13"/>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00" w:line="240" w:lineRule="auto"/>
                    <w:jc w:val="center"/>
                    <w:rPr>
                      <w:sz w:val="20"/>
                      <w:szCs w:val="20"/>
                    </w:rPr>
                  </w:pPr>
                  <w:r w:rsidDel="00000000" w:rsidR="00000000" w:rsidRPr="00000000">
                    <w:rPr>
                      <w:sz w:val="20"/>
                      <w:szCs w:val="20"/>
                      <w:rtl w:val="0"/>
                    </w:rPr>
                    <w:t xml:space="preserve">Se menciona un cronograma con hitos semanales como medida frente a la falta de tiempo, aunque no se presenta un calendario detallado ni una estimación de horas por tarea. El control de avances carece de métricas que lo respalden.</w:t>
                  </w:r>
                </w:p>
              </w:tc>
            </w:tr>
          </w:tbl>
          <w:p w:rsidR="00000000" w:rsidDel="00000000" w:rsidP="00000000" w:rsidRDefault="00000000" w:rsidRPr="00000000" w14:paraId="0000007A">
            <w:pPr>
              <w:spacing w:after="200" w:line="240" w:lineRule="auto"/>
              <w:jc w:val="center"/>
              <w:rPr>
                <w:sz w:val="20"/>
                <w:szCs w:val="20"/>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00" w:line="240" w:lineRule="auto"/>
                    <w:jc w:val="center"/>
                    <w:rPr>
                      <w:sz w:val="20"/>
                      <w:szCs w:val="20"/>
                    </w:rPr>
                  </w:pPr>
                  <w:r w:rsidDel="00000000" w:rsidR="00000000" w:rsidRPr="00000000">
                    <w:rPr>
                      <w:rtl w:val="0"/>
                    </w:rPr>
                  </w:r>
                </w:p>
              </w:tc>
            </w:tr>
          </w:tbl>
          <w:p w:rsidR="00000000" w:rsidDel="00000000" w:rsidP="00000000" w:rsidRDefault="00000000" w:rsidRPr="00000000" w14:paraId="0000007C">
            <w:pPr>
              <w:spacing w:after="200" w:line="240" w:lineRule="auto"/>
              <w:jc w:val="center"/>
              <w:rPr>
                <w:sz w:val="20"/>
                <w:szCs w:val="20"/>
              </w:rPr>
            </w:pPr>
            <w:r w:rsidDel="00000000" w:rsidR="00000000" w:rsidRPr="00000000">
              <w:rPr>
                <w:rtl w:val="0"/>
              </w:rPr>
            </w:r>
          </w:p>
        </w:tc>
      </w:tr>
      <w:tr>
        <w:trPr>
          <w:cantSplit w:val="0"/>
          <w:trHeight w:val="591"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7D">
            <w:pPr>
              <w:spacing w:after="200" w:line="240" w:lineRule="auto"/>
              <w:jc w:val="center"/>
              <w:rPr>
                <w:color w:val="ff0000"/>
                <w:sz w:val="20"/>
                <w:szCs w:val="20"/>
              </w:rPr>
            </w:pPr>
            <w:r w:rsidDel="00000000" w:rsidR="00000000" w:rsidRPr="00000000">
              <w:rPr>
                <w:rtl w:val="0"/>
              </w:rPr>
            </w:r>
          </w:p>
          <w:tbl>
            <w:tblPr>
              <w:tblStyle w:val="Table15"/>
              <w:tblW w:w="172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000000000002"/>
              <w:tblGridChange w:id="0">
                <w:tblGrid>
                  <w:gridCol w:w="172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00" w:line="240" w:lineRule="auto"/>
                    <w:jc w:val="center"/>
                    <w:rPr>
                      <w:color w:val="ff0000"/>
                      <w:sz w:val="20"/>
                      <w:szCs w:val="20"/>
                    </w:rPr>
                  </w:pPr>
                  <w:r w:rsidDel="00000000" w:rsidR="00000000" w:rsidRPr="00000000">
                    <w:rPr>
                      <w:color w:val="ff0000"/>
                      <w:sz w:val="20"/>
                      <w:szCs w:val="20"/>
                      <w:rtl w:val="0"/>
                    </w:rPr>
                    <w:t xml:space="preserve">Adaptabilidad y resolución de problemas</w:t>
                  </w:r>
                </w:p>
              </w:tc>
            </w:tr>
          </w:tbl>
          <w:p w:rsidR="00000000" w:rsidDel="00000000" w:rsidP="00000000" w:rsidRDefault="00000000" w:rsidRPr="00000000" w14:paraId="0000007F">
            <w:pPr>
              <w:spacing w:after="200" w:line="240" w:lineRule="auto"/>
              <w:jc w:val="center"/>
              <w:rPr>
                <w:color w:val="ff0000"/>
                <w:sz w:val="20"/>
                <w:szCs w:val="20"/>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00" w:line="240" w:lineRule="auto"/>
                    <w:jc w:val="center"/>
                    <w:rPr>
                      <w:color w:val="ff0000"/>
                      <w:sz w:val="20"/>
                      <w:szCs w:val="20"/>
                    </w:rPr>
                  </w:pPr>
                  <w:r w:rsidDel="00000000" w:rsidR="00000000" w:rsidRPr="00000000">
                    <w:rPr>
                      <w:rtl w:val="0"/>
                    </w:rPr>
                  </w:r>
                </w:p>
              </w:tc>
            </w:tr>
          </w:tbl>
          <w:p w:rsidR="00000000" w:rsidDel="00000000" w:rsidP="00000000" w:rsidRDefault="00000000" w:rsidRPr="00000000" w14:paraId="00000081">
            <w:pPr>
              <w:spacing w:after="200" w:line="240" w:lineRule="auto"/>
              <w:jc w:val="center"/>
              <w:rPr>
                <w:color w:val="ff0000"/>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82">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83">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84">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85">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86">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87">
            <w:pPr>
              <w:spacing w:after="200" w:line="240" w:lineRule="auto"/>
              <w:jc w:val="center"/>
              <w:rPr>
                <w:sz w:val="20"/>
                <w:szCs w:val="20"/>
              </w:rPr>
            </w:pPr>
            <w:r w:rsidDel="00000000" w:rsidR="00000000" w:rsidRPr="00000000">
              <w:rPr>
                <w:rtl w:val="0"/>
              </w:rPr>
            </w:r>
          </w:p>
          <w:tbl>
            <w:tblPr>
              <w:tblStyle w:val="Table17"/>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00" w:line="240" w:lineRule="auto"/>
                    <w:jc w:val="center"/>
                    <w:rPr>
                      <w:sz w:val="20"/>
                      <w:szCs w:val="20"/>
                    </w:rPr>
                  </w:pPr>
                  <w:r w:rsidDel="00000000" w:rsidR="00000000" w:rsidRPr="00000000">
                    <w:rPr>
                      <w:sz w:val="20"/>
                      <w:szCs w:val="20"/>
                      <w:rtl w:val="0"/>
                    </w:rPr>
                    <w:t xml:space="preserve">Reconoce la posibilidad de enfrentar problemas relacionados con el tiempo y el uso de nuevas herramientas, y propone soluciones realistas, aunque no presenta evidencia de planes alternativos para contingencias críticas.</w:t>
                  </w:r>
                </w:p>
              </w:tc>
            </w:tr>
          </w:tbl>
          <w:p w:rsidR="00000000" w:rsidDel="00000000" w:rsidP="00000000" w:rsidRDefault="00000000" w:rsidRPr="00000000" w14:paraId="00000089">
            <w:pPr>
              <w:spacing w:after="200" w:line="240" w:lineRule="auto"/>
              <w:jc w:val="center"/>
              <w:rPr>
                <w:sz w:val="20"/>
                <w:szCs w:val="20"/>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00" w:line="240" w:lineRule="auto"/>
                    <w:jc w:val="center"/>
                    <w:rPr>
                      <w:sz w:val="20"/>
                      <w:szCs w:val="20"/>
                    </w:rPr>
                  </w:pPr>
                  <w:r w:rsidDel="00000000" w:rsidR="00000000" w:rsidRPr="00000000">
                    <w:rPr>
                      <w:rtl w:val="0"/>
                    </w:rPr>
                  </w:r>
                </w:p>
              </w:tc>
            </w:tr>
          </w:tbl>
          <w:p w:rsidR="00000000" w:rsidDel="00000000" w:rsidP="00000000" w:rsidRDefault="00000000" w:rsidRPr="00000000" w14:paraId="0000008B">
            <w:pPr>
              <w:spacing w:after="200" w:line="240" w:lineRule="auto"/>
              <w:jc w:val="center"/>
              <w:rPr>
                <w:sz w:val="20"/>
                <w:szCs w:val="20"/>
              </w:rPr>
            </w:pPr>
            <w:r w:rsidDel="00000000" w:rsidR="00000000" w:rsidRPr="00000000">
              <w:rPr>
                <w:rtl w:val="0"/>
              </w:rPr>
            </w:r>
          </w:p>
        </w:tc>
      </w:tr>
      <w:tr>
        <w:trPr>
          <w:cantSplit w:val="0"/>
          <w:trHeight w:val="576"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8C">
            <w:pPr>
              <w:spacing w:after="200" w:line="240" w:lineRule="auto"/>
              <w:jc w:val="center"/>
              <w:rPr>
                <w:color w:val="ff0000"/>
                <w:sz w:val="20"/>
                <w:szCs w:val="20"/>
              </w:rPr>
            </w:pPr>
            <w:r w:rsidDel="00000000" w:rsidR="00000000" w:rsidRPr="00000000">
              <w:rPr>
                <w:rtl w:val="0"/>
              </w:rPr>
            </w:r>
          </w:p>
          <w:tbl>
            <w:tblPr>
              <w:tblStyle w:val="Table19"/>
              <w:tblW w:w="172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000000000002"/>
              <w:tblGridChange w:id="0">
                <w:tblGrid>
                  <w:gridCol w:w="172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00" w:line="240" w:lineRule="auto"/>
                    <w:jc w:val="center"/>
                    <w:rPr>
                      <w:color w:val="ff0000"/>
                      <w:sz w:val="20"/>
                      <w:szCs w:val="20"/>
                    </w:rPr>
                  </w:pPr>
                  <w:r w:rsidDel="00000000" w:rsidR="00000000" w:rsidRPr="00000000">
                    <w:rPr>
                      <w:color w:val="ff0000"/>
                      <w:sz w:val="20"/>
                      <w:szCs w:val="20"/>
                      <w:rtl w:val="0"/>
                    </w:rPr>
                    <w:t xml:space="preserve">Uso de herramientas tecnológicas para el desarrollo</w:t>
                  </w:r>
                </w:p>
              </w:tc>
            </w:tr>
          </w:tbl>
          <w:p w:rsidR="00000000" w:rsidDel="00000000" w:rsidP="00000000" w:rsidRDefault="00000000" w:rsidRPr="00000000" w14:paraId="0000008E">
            <w:pPr>
              <w:spacing w:after="200" w:line="240" w:lineRule="auto"/>
              <w:jc w:val="center"/>
              <w:rPr>
                <w:color w:val="ff0000"/>
                <w:sz w:val="20"/>
                <w:szCs w:val="20"/>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00" w:line="240" w:lineRule="auto"/>
                    <w:jc w:val="center"/>
                    <w:rPr>
                      <w:color w:val="ff0000"/>
                      <w:sz w:val="20"/>
                      <w:szCs w:val="20"/>
                    </w:rPr>
                  </w:pPr>
                  <w:r w:rsidDel="00000000" w:rsidR="00000000" w:rsidRPr="00000000">
                    <w:rPr>
                      <w:rtl w:val="0"/>
                    </w:rPr>
                  </w:r>
                </w:p>
              </w:tc>
            </w:tr>
          </w:tbl>
          <w:p w:rsidR="00000000" w:rsidDel="00000000" w:rsidP="00000000" w:rsidRDefault="00000000" w:rsidRPr="00000000" w14:paraId="00000090">
            <w:pPr>
              <w:spacing w:after="200" w:line="240" w:lineRule="auto"/>
              <w:jc w:val="center"/>
              <w:rPr>
                <w:color w:val="ff0000"/>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1">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2">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3">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4">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5">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6">
            <w:pPr>
              <w:spacing w:after="200" w:line="240" w:lineRule="auto"/>
              <w:jc w:val="center"/>
              <w:rPr>
                <w:sz w:val="20"/>
                <w:szCs w:val="20"/>
              </w:rPr>
            </w:pPr>
            <w:r w:rsidDel="00000000" w:rsidR="00000000" w:rsidRPr="00000000">
              <w:rPr>
                <w:rtl w:val="0"/>
              </w:rPr>
            </w:r>
          </w:p>
          <w:tbl>
            <w:tblPr>
              <w:tblStyle w:val="Table21"/>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00" w:line="240" w:lineRule="auto"/>
                    <w:jc w:val="center"/>
                    <w:rPr>
                      <w:sz w:val="20"/>
                      <w:szCs w:val="20"/>
                    </w:rPr>
                  </w:pPr>
                  <w:r w:rsidDel="00000000" w:rsidR="00000000" w:rsidRPr="00000000">
                    <w:rPr>
                      <w:sz w:val="20"/>
                      <w:szCs w:val="20"/>
                      <w:rtl w:val="0"/>
                    </w:rPr>
                    <w:t xml:space="preserve">El uso de IDE, MySQL, Figma y un servidor local o en la nube es adecuado, pero no se especifican las versiones, configuraciones o la integración entre estas herramientas, lo que podría generar incompatibilidades o limitaciones técnicas.</w:t>
                  </w:r>
                </w:p>
              </w:tc>
            </w:tr>
          </w:tbl>
          <w:p w:rsidR="00000000" w:rsidDel="00000000" w:rsidP="00000000" w:rsidRDefault="00000000" w:rsidRPr="00000000" w14:paraId="00000098">
            <w:pPr>
              <w:spacing w:after="200" w:line="240" w:lineRule="auto"/>
              <w:jc w:val="center"/>
              <w:rPr>
                <w:sz w:val="20"/>
                <w:szCs w:val="20"/>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00" w:line="240" w:lineRule="auto"/>
                    <w:jc w:val="center"/>
                    <w:rPr>
                      <w:sz w:val="20"/>
                      <w:szCs w:val="20"/>
                    </w:rPr>
                  </w:pPr>
                  <w:r w:rsidDel="00000000" w:rsidR="00000000" w:rsidRPr="00000000">
                    <w:rPr>
                      <w:rtl w:val="0"/>
                    </w:rPr>
                  </w:r>
                </w:p>
              </w:tc>
            </w:tr>
          </w:tbl>
          <w:p w:rsidR="00000000" w:rsidDel="00000000" w:rsidP="00000000" w:rsidRDefault="00000000" w:rsidRPr="00000000" w14:paraId="0000009A">
            <w:pPr>
              <w:spacing w:after="200" w:line="240" w:lineRule="auto"/>
              <w:jc w:val="center"/>
              <w:rPr>
                <w:sz w:val="20"/>
                <w:szCs w:val="20"/>
              </w:rPr>
            </w:pPr>
            <w:r w:rsidDel="00000000" w:rsidR="00000000" w:rsidRPr="00000000">
              <w:rPr>
                <w:rtl w:val="0"/>
              </w:rPr>
            </w:r>
          </w:p>
        </w:tc>
      </w:tr>
      <w:tr>
        <w:trPr>
          <w:cantSplit w:val="0"/>
          <w:trHeight w:val="576" w:hRule="atLeast"/>
          <w:tblHeader w:val="0"/>
        </w:trPr>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9B">
            <w:pPr>
              <w:spacing w:after="200" w:line="240" w:lineRule="auto"/>
              <w:jc w:val="center"/>
              <w:rPr>
                <w:color w:val="ff0000"/>
                <w:sz w:val="20"/>
                <w:szCs w:val="20"/>
              </w:rPr>
            </w:pPr>
            <w:r w:rsidDel="00000000" w:rsidR="00000000" w:rsidRPr="00000000">
              <w:rPr>
                <w:rtl w:val="0"/>
              </w:rPr>
            </w:r>
          </w:p>
          <w:tbl>
            <w:tblPr>
              <w:tblStyle w:val="Table23"/>
              <w:tblW w:w="1725.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000000000002"/>
              <w:tblGridChange w:id="0">
                <w:tblGrid>
                  <w:gridCol w:w="1725.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00" w:line="240" w:lineRule="auto"/>
                    <w:jc w:val="center"/>
                    <w:rPr>
                      <w:color w:val="ff0000"/>
                      <w:sz w:val="20"/>
                      <w:szCs w:val="20"/>
                    </w:rPr>
                  </w:pPr>
                  <w:r w:rsidDel="00000000" w:rsidR="00000000" w:rsidRPr="00000000">
                    <w:rPr>
                      <w:color w:val="ff0000"/>
                      <w:sz w:val="20"/>
                      <w:szCs w:val="20"/>
                      <w:rtl w:val="0"/>
                    </w:rPr>
                    <w:t xml:space="preserve">Responsabilidad y compromiso profesional</w:t>
                  </w:r>
                </w:p>
              </w:tc>
            </w:tr>
          </w:tbl>
          <w:p w:rsidR="00000000" w:rsidDel="00000000" w:rsidP="00000000" w:rsidRDefault="00000000" w:rsidRPr="00000000" w14:paraId="0000009D">
            <w:pPr>
              <w:spacing w:after="200" w:line="240" w:lineRule="auto"/>
              <w:jc w:val="center"/>
              <w:rPr>
                <w:color w:val="ff0000"/>
                <w:sz w:val="20"/>
                <w:szCs w:val="20"/>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00" w:line="240" w:lineRule="auto"/>
                    <w:jc w:val="center"/>
                    <w:rPr>
                      <w:color w:val="ff0000"/>
                      <w:sz w:val="20"/>
                      <w:szCs w:val="20"/>
                    </w:rPr>
                  </w:pPr>
                  <w:r w:rsidDel="00000000" w:rsidR="00000000" w:rsidRPr="00000000">
                    <w:rPr>
                      <w:rtl w:val="0"/>
                    </w:rPr>
                  </w:r>
                </w:p>
              </w:tc>
            </w:tr>
          </w:tbl>
          <w:p w:rsidR="00000000" w:rsidDel="00000000" w:rsidP="00000000" w:rsidRDefault="00000000" w:rsidRPr="00000000" w14:paraId="0000009F">
            <w:pPr>
              <w:spacing w:after="200" w:line="240" w:lineRule="auto"/>
              <w:jc w:val="center"/>
              <w:rPr>
                <w:color w:val="ff0000"/>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0">
            <w:pPr>
              <w:spacing w:after="200" w:line="240" w:lineRule="auto"/>
              <w:jc w:val="center"/>
              <w:rPr>
                <w:sz w:val="20"/>
                <w:szCs w:val="20"/>
              </w:rPr>
            </w:pPr>
            <w:r w:rsidDel="00000000" w:rsidR="00000000" w:rsidRPr="00000000">
              <w:rPr>
                <w:sz w:val="20"/>
                <w:szCs w:val="20"/>
                <w:rtl w:val="0"/>
              </w:rPr>
              <w:t xml:space="preserve">x</w:t>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1">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2">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3">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Pr>
          <w:p w:rsidR="00000000" w:rsidDel="00000000" w:rsidP="00000000" w:rsidRDefault="00000000" w:rsidRPr="00000000" w14:paraId="000000A4">
            <w:pPr>
              <w:spacing w:after="200" w:line="240" w:lineRule="auto"/>
              <w:jc w:val="center"/>
              <w:rPr>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00" w:line="240" w:lineRule="auto"/>
              <w:jc w:val="center"/>
              <w:rPr>
                <w:sz w:val="20"/>
                <w:szCs w:val="20"/>
              </w:rPr>
            </w:pPr>
            <w:r w:rsidDel="00000000" w:rsidR="00000000" w:rsidRPr="00000000">
              <w:rPr>
                <w:sz w:val="20"/>
                <w:szCs w:val="20"/>
                <w:rtl w:val="0"/>
              </w:rPr>
              <w:t xml:space="preserve">Demuestra interés en aportar soluciones reales al sector gastronómico y disposición para el autoaprendizaje; sin embargo, el compromiso podría fortalecerse mediante el uso de métricas de control de calidad y un registro de actividades.</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5"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spacing w:after="200" w:line="360" w:lineRule="auto"/>
        <w:jc w:val="both"/>
        <w:rPr>
          <w:rFonts w:ascii="Arial" w:cs="Arial" w:eastAsia="Arial" w:hAnsi="Arial"/>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 Fernanda Monsalve</w:t>
          </w:r>
        </w:p>
        <w:p w:rsidR="00000000" w:rsidDel="00000000" w:rsidP="00000000" w:rsidRDefault="00000000" w:rsidRPr="00000000" w14:paraId="000000A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right"/>
            <w:rPr>
              <w:rFonts w:ascii="Century Gothic" w:cs="Century Gothic" w:eastAsia="Century Gothic" w:hAnsi="Century Gothic"/>
              <w:b w:val="1"/>
              <w:sz w:val="30"/>
              <w:szCs w:val="30"/>
            </w:rPr>
          </w:pPr>
          <w:r w:rsidDel="00000000" w:rsidR="00000000" w:rsidRPr="00000000">
            <w:rPr/>
            <w:drawing>
              <wp:inline distB="0" distT="0" distL="0" distR="0">
                <wp:extent cx="1669732" cy="357800"/>
                <wp:effectExtent b="0" l="0" r="0" t="0"/>
                <wp:docPr descr="http://www.duoc.cl/normasgraficas/normasgraficas/marca-duoc/6logo-fondo-transparente/fondo-transparente.png" id="33"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669732" cy="3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B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qIBBWrFSZebjP3ukXhhUv6ipg==">CgMxLjAyDmguY290ZWdvNnc0ZnpwMg5oLjhpZHYwOGMyYmloZTgAciExLTl4eU9jZ0t4RDYtZXlORG80dzhwZG8yT3AxUldyTTY=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