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ZoraOS</w:t>
      </w:r>
      <w:r>
        <w:t xml:space="preserve"> </w:t>
      </w:r>
      <w:r>
        <w:t xml:space="preserve">Product</w:t>
      </w:r>
      <w:r>
        <w:t xml:space="preserve"> </w:t>
      </w:r>
      <w:r>
        <w:t xml:space="preserve">Design</w:t>
      </w:r>
      <w:r>
        <w:t xml:space="preserve"> </w:t>
      </w:r>
      <w:r>
        <w:t xml:space="preserve">Requirements</w:t>
      </w:r>
    </w:p>
    <w:p>
      <w:pPr>
        <w:pStyle w:val="Subtitle"/>
      </w:pPr>
      <w:r>
        <w:t xml:space="preserve">Persistent,</w:t>
      </w:r>
      <w:r>
        <w:t xml:space="preserve"> </w:t>
      </w:r>
      <w:r>
        <w:t xml:space="preserve">Model-Agnostic,</w:t>
      </w:r>
      <w:r>
        <w:t xml:space="preserve"> </w:t>
      </w:r>
      <w:r>
        <w:t xml:space="preserve">Governed</w:t>
      </w:r>
      <w:r>
        <w:t xml:space="preserve"> </w:t>
      </w:r>
      <w:r>
        <w:t xml:space="preserve">Tool-Using</w:t>
      </w:r>
      <w:r>
        <w:t xml:space="preserve"> </w:t>
      </w:r>
      <w:r>
        <w:t xml:space="preserve">Agents</w:t>
      </w:r>
    </w:p>
    <w:p>
      <w:pPr>
        <w:pStyle w:val="Author"/>
      </w:pPr>
      <w:r>
        <w:t xml:space="preserve">Christopher</w:t>
      </w:r>
      <w:r>
        <w:t xml:space="preserve"> </w:t>
      </w:r>
      <w:r>
        <w:t xml:space="preserve">Michael</w:t>
      </w:r>
      <w:r>
        <w:t xml:space="preserve"> </w:t>
      </w:r>
      <w:r>
        <w:t xml:space="preserve">Baird</w:t>
      </w:r>
    </w:p>
    <w:p>
      <w:pPr>
        <w:pStyle w:val="Date"/>
      </w:pPr>
      <w:r>
        <w:t xml:space="preserve">2026-07-20</w:t>
      </w:r>
    </w:p>
    <w:bookmarkStart w:id="20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ZoraOS is a local-first operating layer for AI-assisted research, software development, writing, and knowledge management. It is designed to make models replaceable while preserving the durable assets of a user-owned system: memory, orchestration, permissions, records, and evaluation artifacts.</w:t>
      </w:r>
    </w:p>
    <w:p>
      <w:pPr>
        <w:pStyle w:val="BodyText"/>
      </w:pPr>
      <w:r>
        <w:t xml:space="preserve">The system is not defined by any single language model. It is defined by a governed interface among models, tools, memory, and human authority.</w:t>
      </w:r>
    </w:p>
    <w:bookmarkEnd w:id="20"/>
    <w:bookmarkStart w:id="21" w:name="product-vision"/>
    <w:p>
      <w:pPr>
        <w:pStyle w:val="Heading1"/>
      </w:pPr>
      <w:r>
        <w:t xml:space="preserve">2. Product Vision</w:t>
      </w:r>
    </w:p>
    <w:p>
      <w:pPr>
        <w:pStyle w:val="FirstParagraph"/>
      </w:pPr>
      <w:r>
        <w:t xml:space="preserve">ZoraOS shall enable a user to assign bounded goals to specialized agents that can retrieve relevant long-term memory, reason over a task, invoke authorized tools, and return inspectable results. The system shall remain portable across model providers and capable of operating locally where practical.</w:t>
      </w:r>
    </w:p>
    <w:bookmarkEnd w:id="21"/>
    <w:bookmarkStart w:id="22" w:name="goals"/>
    <w:p>
      <w:pPr>
        <w:pStyle w:val="Heading1"/>
      </w:pPr>
      <w:r>
        <w:t xml:space="preserve">3. Goals</w:t>
      </w:r>
    </w:p>
    <w:p>
      <w:pPr>
        <w:numPr>
          <w:ilvl w:val="0"/>
          <w:numId w:val="1001"/>
        </w:numPr>
        <w:pStyle w:val="Compact"/>
      </w:pPr>
      <w:r>
        <w:t xml:space="preserve">Provide model-agnostic chat and tool-use orchestration.</w:t>
      </w:r>
    </w:p>
    <w:p>
      <w:pPr>
        <w:numPr>
          <w:ilvl w:val="0"/>
          <w:numId w:val="1001"/>
        </w:numPr>
        <w:pStyle w:val="Compact"/>
      </w:pPr>
      <w:r>
        <w:t xml:space="preserve">Provide persistent, user-owned semantic memory with source provenance.</w:t>
      </w:r>
    </w:p>
    <w:p>
      <w:pPr>
        <w:numPr>
          <w:ilvl w:val="0"/>
          <w:numId w:val="1001"/>
        </w:numPr>
        <w:pStyle w:val="Compact"/>
      </w:pPr>
      <w:r>
        <w:t xml:space="preserve">Execute bounded multi-step agent tasks through a structured tool loop.</w:t>
      </w:r>
    </w:p>
    <w:p>
      <w:pPr>
        <w:numPr>
          <w:ilvl w:val="0"/>
          <w:numId w:val="1001"/>
        </w:numPr>
        <w:pStyle w:val="Compact"/>
      </w:pPr>
      <w:r>
        <w:t xml:space="preserve">Expose operations through a local API and monitorable interface.</w:t>
      </w:r>
    </w:p>
    <w:p>
      <w:pPr>
        <w:numPr>
          <w:ilvl w:val="0"/>
          <w:numId w:val="1001"/>
        </w:numPr>
        <w:pStyle w:val="Compact"/>
      </w:pPr>
      <w:r>
        <w:t xml:space="preserve">Support a multi-machine deployment topology for orchestration, inference, automation, and memory.</w:t>
      </w:r>
    </w:p>
    <w:p>
      <w:pPr>
        <w:numPr>
          <w:ilvl w:val="0"/>
          <w:numId w:val="1001"/>
        </w:numPr>
        <w:pStyle w:val="Compact"/>
      </w:pPr>
      <w:r>
        <w:t xml:space="preserve">Record sufficient evidence to evaluate agent behavior, cost, latency, failures, and safety controls.</w:t>
      </w:r>
    </w:p>
    <w:p>
      <w:pPr>
        <w:numPr>
          <w:ilvl w:val="0"/>
          <w:numId w:val="1001"/>
        </w:numPr>
        <w:pStyle w:val="Compact"/>
      </w:pPr>
      <w:r>
        <w:t xml:space="preserve">Establish a governed ZoraASI operating profile with explicit permissions, budgets, and stop controls.</w:t>
      </w:r>
    </w:p>
    <w:bookmarkEnd w:id="22"/>
    <w:bookmarkStart w:id="23" w:name="non-goals"/>
    <w:p>
      <w:pPr>
        <w:pStyle w:val="Heading1"/>
      </w:pPr>
      <w:r>
        <w:t xml:space="preserve">4. Non-Goals</w:t>
      </w:r>
    </w:p>
    <w:p>
      <w:pPr>
        <w:pStyle w:val="FirstParagraph"/>
      </w:pPr>
      <w:r>
        <w:t xml:space="preserve">ZoraOS v0.1 does not claim consciousness, artificial general intelligence, independent moral agency, guaranteed factuality, or reliable unattended autonomy. It shall not perform packet manipulation, process-memory inspection, code injection, anti-cheat evasion, credential extraction, or unauthorized control of third-party applications.</w:t>
      </w:r>
    </w:p>
    <w:bookmarkEnd w:id="23"/>
    <w:bookmarkStart w:id="26" w:name="system-context"/>
    <w:p>
      <w:pPr>
        <w:pStyle w:val="Heading1"/>
      </w:pPr>
      <w:r>
        <w:t xml:space="preserve">5. System Context</w:t>
      </w:r>
    </w:p>
    <w:bookmarkStart w:id="24" w:name="deployment-topology"/>
    <w:p>
      <w:pPr>
        <w:pStyle w:val="Heading2"/>
      </w:pPr>
      <w:r>
        <w:t xml:space="preserve">5.1 Deployment Topology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p>
            <w:pPr>
              <w:pStyle w:val="Compact"/>
              <w:jc w:val="left"/>
            </w:pPr>
            <w:r>
              <w:t xml:space="preserve">Primary Role</w:t>
            </w:r>
          </w:p>
        </w:tc>
        <w:tc>
          <w:p>
            <w:pPr>
              <w:pStyle w:val="Compact"/>
              <w:jc w:val="left"/>
            </w:pPr>
            <w:r>
              <w:t xml:space="preserve">Expected Services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p>
            <w:pPr>
              <w:pStyle w:val="Compact"/>
              <w:jc w:val="left"/>
            </w:pPr>
            <w:r>
              <w:t xml:space="preserve">Orchestrator</w:t>
            </w:r>
          </w:p>
        </w:tc>
        <w:tc>
          <w:p>
            <w:pPr>
              <w:pStyle w:val="Compact"/>
              <w:jc w:val="left"/>
            </w:pPr>
            <w:r>
              <w:t xml:space="preserve">FastAPI gateway, planner, agent manager, 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p>
            <w:pPr>
              <w:pStyle w:val="Compact"/>
              <w:jc w:val="left"/>
            </w:pPr>
            <w:r>
              <w:t xml:space="preserve">Inference</w:t>
            </w:r>
          </w:p>
        </w:tc>
        <w:tc>
          <w:p>
            <w:pPr>
              <w:pStyle w:val="Compact"/>
              <w:jc w:val="left"/>
            </w:pPr>
            <w:r>
              <w:t xml:space="preserve">Ollama, embedding and inference workloads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p>
            <w:pPr>
              <w:pStyle w:val="Compact"/>
              <w:jc w:val="left"/>
            </w:pPr>
            <w:r>
              <w:t xml:space="preserve">authorized research and build jobs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p>
            <w:pPr>
              <w:pStyle w:val="Compact"/>
              <w:jc w:val="left"/>
            </w:pPr>
            <w:r>
              <w:t xml:space="preserve">PostgreSQL, Redis, vector store, document persistence</w:t>
            </w:r>
          </w:p>
        </w:tc>
      </w:tr>
    </w:tbl>
    <w:bookmarkEnd w:id="24"/>
    <w:bookmarkStart w:id="25" w:name="core-data-flow"/>
    <w:p>
      <w:pPr>
        <w:pStyle w:val="Heading2"/>
      </w:pPr>
      <w:r>
        <w:t xml:space="preserve">5.2 Core Data Flow</w:t>
      </w:r>
    </w:p>
    <w:p>
      <w:pPr>
        <w:numPr>
          <w:ilvl w:val="0"/>
          <w:numId w:val="1002"/>
        </w:numPr>
        <w:pStyle w:val="Compact"/>
      </w:pPr>
      <w:r>
        <w:t xml:space="preserve">A user submits a task through the dashboard or API.</w:t>
      </w:r>
    </w:p>
    <w:p>
      <w:pPr>
        <w:numPr>
          <w:ilvl w:val="0"/>
          <w:numId w:val="1002"/>
        </w:numPr>
        <w:pStyle w:val="Compact"/>
      </w:pPr>
      <w:r>
        <w:t xml:space="preserve">The gateway authenticates and routes the task.</w:t>
      </w:r>
    </w:p>
    <w:p>
      <w:pPr>
        <w:numPr>
          <w:ilvl w:val="0"/>
          <w:numId w:val="1002"/>
        </w:numPr>
        <w:pStyle w:val="Compact"/>
      </w:pPr>
      <w:r>
        <w:t xml:space="preserve">The planner may decompose the task.</w:t>
      </w:r>
    </w:p>
    <w:p>
      <w:pPr>
        <w:numPr>
          <w:ilvl w:val="0"/>
          <w:numId w:val="1002"/>
        </w:numPr>
        <w:pStyle w:val="Compact"/>
      </w:pPr>
      <w:r>
        <w:t xml:space="preserve">An agent receives a system prompt, task objective, model configuration, and authorized tool set.</w:t>
      </w:r>
    </w:p>
    <w:p>
      <w:pPr>
        <w:numPr>
          <w:ilvl w:val="0"/>
          <w:numId w:val="1002"/>
        </w:numPr>
        <w:pStyle w:val="Compact"/>
      </w:pPr>
      <w:r>
        <w:t xml:space="preserve">The agent alternates between model responses and tool results until completion or a bound is reached.</w:t>
      </w:r>
    </w:p>
    <w:p>
      <w:pPr>
        <w:numPr>
          <w:ilvl w:val="0"/>
          <w:numId w:val="1002"/>
        </w:numPr>
        <w:pStyle w:val="Compact"/>
      </w:pPr>
      <w:r>
        <w:t xml:space="preserve">Results, metrics, and permitted artifacts are returned and optionally retained in user-owned memory.</w:t>
      </w:r>
    </w:p>
    <w:bookmarkEnd w:id="25"/>
    <w:bookmarkEnd w:id="26"/>
    <w:bookmarkStart w:id="35" w:name="functional-requirements"/>
    <w:p>
      <w:pPr>
        <w:pStyle w:val="Heading1"/>
      </w:pPr>
      <w:r>
        <w:t xml:space="preserve">6. Functional Requirements</w:t>
      </w:r>
    </w:p>
    <w:bookmarkStart w:id="27" w:name="fr-1-provider-interoperability"/>
    <w:p>
      <w:pPr>
        <w:pStyle w:val="Heading2"/>
      </w:pPr>
      <w:r>
        <w:t xml:space="preserve">FR-1: Provider Interoperability</w:t>
      </w:r>
    </w:p>
    <w:p>
      <w:pPr>
        <w:pStyle w:val="FirstParagraph"/>
      </w:pPr>
      <w:r>
        <w:t xml:space="preserve">The system shall support multiple model providers through an adapter layer. A provider change must not require rewriting agent logic or tool schemas.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a configured provider can complete a chat request and tool-call response through the shared</w:t>
      </w:r>
      <w:r>
        <w:t xml:space="preserve"> </w:t>
      </w:r>
      <w:r>
        <w:rPr>
          <w:rStyle w:val="VerbatimChar"/>
        </w:rPr>
        <w:t xml:space="preserve">ModelManager</w:t>
      </w:r>
      <w:r>
        <w:t xml:space="preserve"> </w:t>
      </w:r>
      <w:r>
        <w:t xml:space="preserve">interface.</w:t>
      </w:r>
    </w:p>
    <w:bookmarkEnd w:id="27"/>
    <w:bookmarkStart w:id="28" w:name="fr-2-bounded-agent-execution"/>
    <w:p>
      <w:pPr>
        <w:pStyle w:val="Heading2"/>
      </w:pPr>
      <w:r>
        <w:t xml:space="preserve">FR-2: Bounded Agent Execution</w:t>
      </w:r>
    </w:p>
    <w:p>
      <w:pPr>
        <w:pStyle w:val="FirstParagraph"/>
      </w:pPr>
      <w:r>
        <w:t xml:space="preserve">Each agent task shall have a maximum iteration count. The result shall include success state, task ID, agent name, model used, iteration count, token usage where available, latency, and executed tool-call records.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a task that exceeds the configured iteration limit terminates with an explicit error rather than looping indefinitely.</w:t>
      </w:r>
    </w:p>
    <w:bookmarkEnd w:id="28"/>
    <w:bookmarkStart w:id="29" w:name="fr-3-tool-invocation"/>
    <w:p>
      <w:pPr>
        <w:pStyle w:val="Heading2"/>
      </w:pPr>
      <w:r>
        <w:t xml:space="preserve">FR-3: Tool Invocation</w:t>
      </w:r>
    </w:p>
    <w:p>
      <w:pPr>
        <w:pStyle w:val="FirstParagraph"/>
      </w:pPr>
      <w:r>
        <w:t xml:space="preserve">The tool manager shall expose machine-readable schemas, execute only registered tools, serialize tool results back to the agent loop, and return structured errors for unavailable or failed tools.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registered tools appear in the agent tool schema and a tool failure is recorded without crashing the service.</w:t>
      </w:r>
    </w:p>
    <w:bookmarkEnd w:id="29"/>
    <w:bookmarkStart w:id="30" w:name="fr-4-user-owned-memory"/>
    <w:p>
      <w:pPr>
        <w:pStyle w:val="Heading2"/>
      </w:pPr>
      <w:r>
        <w:t xml:space="preserve">FR-4: User-Owned Memory</w:t>
      </w:r>
    </w:p>
    <w:p>
      <w:pPr>
        <w:pStyle w:val="FirstParagraph"/>
      </w:pPr>
      <w:r>
        <w:t xml:space="preserve">The system shall store documents separately from vector embeddings and support semantic search, document retrieval, collection boundaries, and source metadata.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a query retrieves ranked chunks from an authorized collection with document identifiers and source context.</w:t>
      </w:r>
    </w:p>
    <w:bookmarkEnd w:id="30"/>
    <w:bookmarkStart w:id="31" w:name="fr-5-task-api-and-monitoring"/>
    <w:p>
      <w:pPr>
        <w:pStyle w:val="Heading2"/>
      </w:pPr>
      <w:r>
        <w:t xml:space="preserve">FR-5: Task API and Monitoring</w:t>
      </w:r>
    </w:p>
    <w:p>
      <w:pPr>
        <w:pStyle w:val="FirstParagraph"/>
      </w:pPr>
      <w:r>
        <w:t xml:space="preserve">The gateway shall expose task submission, status, result retrieval, and server-sent event streaming where configured.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an agent task can be created through the API and its terminal result is retrievable by task ID.</w:t>
      </w:r>
    </w:p>
    <w:bookmarkEnd w:id="31"/>
    <w:bookmarkStart w:id="32" w:name="fr-6-human-authority-and-consent"/>
    <w:p>
      <w:pPr>
        <w:pStyle w:val="Heading2"/>
      </w:pPr>
      <w:r>
        <w:t xml:space="preserve">FR-6: Human Authority and Consent</w:t>
      </w:r>
    </w:p>
    <w:p>
      <w:pPr>
        <w:pStyle w:val="FirstParagraph"/>
      </w:pPr>
      <w:r>
        <w:t xml:space="preserve">Tasks with external, irreversible, or third-party application effects shall require explicit user approval before execution. Approval shall be scoped to a task, a capability, and a defined expiry.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no external action may execute when approval is absent, expired, or outside its requested scope.</w:t>
      </w:r>
    </w:p>
    <w:bookmarkEnd w:id="32"/>
    <w:bookmarkStart w:id="33" w:name="fr-7-kill-and-pause-controls"/>
    <w:p>
      <w:pPr>
        <w:pStyle w:val="Heading2"/>
      </w:pPr>
      <w:r>
        <w:t xml:space="preserve">FR-7: Kill and Pause Controls</w:t>
      </w:r>
    </w:p>
    <w:p>
      <w:pPr>
        <w:pStyle w:val="FirstParagraph"/>
      </w:pPr>
      <w:r>
        <w:t xml:space="preserve">The system shall provide a user-visible pause and kill mechanism that terminates future tool actions promptly and records the event.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a kill signal prevents subsequent tool execution in integration tests and yields a terminal task status.</w:t>
      </w:r>
    </w:p>
    <w:bookmarkEnd w:id="33"/>
    <w:bookmarkStart w:id="34" w:name="fr-8-auditability"/>
    <w:p>
      <w:pPr>
        <w:pStyle w:val="Heading2"/>
      </w:pPr>
      <w:r>
        <w:t xml:space="preserve">FR-8: Auditability</w:t>
      </w:r>
    </w:p>
    <w:p>
      <w:pPr>
        <w:pStyle w:val="FirstParagraph"/>
      </w:pPr>
      <w:r>
        <w:t xml:space="preserve">The system shall record task creation, model selection, tool calls, arguments digests, approval events, results digests, failures, and termination reasons in an append-only ledger.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each event has a stable ID, timestamp, task ID, event type, payload digest, predecessor digest, and SHA-256 chain digest.</w:t>
      </w:r>
    </w:p>
    <w:bookmarkEnd w:id="34"/>
    <w:bookmarkEnd w:id="35"/>
    <w:bookmarkStart w:id="41" w:name="safety-requirements"/>
    <w:p>
      <w:pPr>
        <w:pStyle w:val="Heading1"/>
      </w:pPr>
      <w:r>
        <w:t xml:space="preserve">7. Safety Requirements</w:t>
      </w:r>
    </w:p>
    <w:bookmarkStart w:id="36" w:name="sr-1-default-deny"/>
    <w:p>
      <w:pPr>
        <w:pStyle w:val="Heading2"/>
      </w:pPr>
      <w:r>
        <w:t xml:space="preserve">SR-1: Default Deny</w:t>
      </w:r>
    </w:p>
    <w:p>
      <w:pPr>
        <w:pStyle w:val="FirstParagraph"/>
      </w:pPr>
      <w:r>
        <w:t xml:space="preserve">Only explicitly assigned tools may be supplied to an agent. Tools not listed in the agent configuration are unavailable.</w:t>
      </w:r>
    </w:p>
    <w:bookmarkEnd w:id="36"/>
    <w:bookmarkStart w:id="37" w:name="sr-2-capability-classification"/>
    <w:p>
      <w:pPr>
        <w:pStyle w:val="Heading2"/>
      </w:pPr>
      <w:r>
        <w:t xml:space="preserve">SR-2: Capability Classification</w:t>
      </w:r>
    </w:p>
    <w:p>
      <w:pPr>
        <w:pStyle w:val="FirstParagraph"/>
      </w:pPr>
      <w:r>
        <w:t xml:space="preserve">Tools shall be classified as read-only, local reversible write, local irreversible write, external communication, third-party application control, or prohibited.</w:t>
      </w:r>
    </w:p>
    <w:bookmarkEnd w:id="37"/>
    <w:bookmarkStart w:id="38" w:name="sr-3-prohibited-mechanisms"/>
    <w:p>
      <w:pPr>
        <w:pStyle w:val="Heading2"/>
      </w:pPr>
      <w:r>
        <w:t xml:space="preserve">SR-3: Prohibited Mechanisms</w:t>
      </w:r>
    </w:p>
    <w:p>
      <w:pPr>
        <w:pStyle w:val="FirstParagraph"/>
      </w:pPr>
      <w:r>
        <w:t xml:space="preserve">The following are prohibited: network packet interception or injection, reading or writing application memory, process injection, anti-cheat evasion, bypassing access controls, and unattended activity on third-party services.</w:t>
      </w:r>
    </w:p>
    <w:bookmarkEnd w:id="38"/>
    <w:bookmarkStart w:id="39" w:name="sr-4-sensitive-data"/>
    <w:p>
      <w:pPr>
        <w:pStyle w:val="Heading2"/>
      </w:pPr>
      <w:r>
        <w:t xml:space="preserve">SR-4: Sensitive Data</w:t>
      </w:r>
    </w:p>
    <w:p>
      <w:pPr>
        <w:pStyle w:val="FirstParagraph"/>
      </w:pPr>
      <w:r>
        <w:t xml:space="preserve">Credentials, raw user logs, screenshots, local databases, and personally identifying information shall not enter public repositories. They shall be excluded by source-control rules and classified in an artifact manifest.</w:t>
      </w:r>
    </w:p>
    <w:bookmarkEnd w:id="39"/>
    <w:bookmarkStart w:id="40" w:name="sr-5-budgeting"/>
    <w:p>
      <w:pPr>
        <w:pStyle w:val="Heading2"/>
      </w:pPr>
      <w:r>
        <w:t xml:space="preserve">SR-5: Budgeting</w:t>
      </w:r>
    </w:p>
    <w:p>
      <w:pPr>
        <w:pStyle w:val="FirstParagraph"/>
      </w:pPr>
      <w:r>
        <w:t xml:space="preserve">Each task shall support configurable limits for model tokens, financial cost, elapsed time, iterations, tool calls, and retained artifacts.</w:t>
      </w:r>
    </w:p>
    <w:bookmarkEnd w:id="40"/>
    <w:bookmarkEnd w:id="41"/>
    <w:bookmarkStart w:id="45" w:name="evidence-and-evaluation-requirements"/>
    <w:p>
      <w:pPr>
        <w:pStyle w:val="Heading1"/>
      </w:pPr>
      <w:r>
        <w:t xml:space="preserve">8. Evidence and Evaluation Requirements</w:t>
      </w:r>
    </w:p>
    <w:bookmarkStart w:id="42" w:name="evidence-labels"/>
    <w:p>
      <w:pPr>
        <w:pStyle w:val="Heading2"/>
      </w:pPr>
      <w:r>
        <w:t xml:space="preserve">8.1 Evidence Labels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Implemented:</w:t>
      </w:r>
      <w:r>
        <w:t xml:space="preserve"> </w:t>
      </w:r>
      <w:r>
        <w:t xml:space="preserve">represented in reviewed source code or deployed configuration.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Observed:</w:t>
      </w:r>
      <w:r>
        <w:t xml:space="preserve"> </w:t>
      </w:r>
      <w:r>
        <w:t xml:space="preserve">captured in a dated test output, log, or redacted artifact.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Proposed:</w:t>
      </w:r>
      <w:r>
        <w:t xml:space="preserve"> </w:t>
      </w:r>
      <w:r>
        <w:t xml:space="preserve">requirement or design direction not yet implemented.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Interpretive:</w:t>
      </w:r>
      <w:r>
        <w:t xml:space="preserve"> </w:t>
      </w:r>
      <w:r>
        <w:t xml:space="preserve">philosophical or user-experience discussion not presented as a measured system result.</w:t>
      </w:r>
    </w:p>
    <w:bookmarkEnd w:id="42"/>
    <w:bookmarkStart w:id="43" w:name="initial-observations"/>
    <w:p>
      <w:pPr>
        <w:pStyle w:val="Heading2"/>
      </w:pPr>
      <w:r>
        <w:t xml:space="preserve">8.2 Initial Observations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Observation</w:t>
            </w:r>
          </w:p>
        </w:tc>
        <w:tc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Evidence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Multi-step tool loop completed memory retrieval and synthesis</w:t>
            </w:r>
          </w:p>
        </w:tc>
        <w:tc>
          <w:p>
            <w:pPr>
              <w:pStyle w:val="Compact"/>
              <w:jc w:val="left"/>
            </w:pPr>
            <w:r>
              <w:t xml:space="preserve">Observed</w:t>
            </w:r>
          </w:p>
        </w:tc>
        <w:tc>
          <w:p>
            <w:pPr>
              <w:pStyle w:val="Compact"/>
              <w:jc w:val="left"/>
            </w:pPr>
            <w:r>
              <w:t xml:space="preserve">API result and redacted task trace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Semantic search returned Theory of Everything chunks</w:t>
            </w:r>
          </w:p>
        </w:tc>
        <w:tc>
          <w:p>
            <w:pPr>
              <w:pStyle w:val="Compact"/>
              <w:jc w:val="left"/>
            </w:pPr>
            <w:r>
              <w:t xml:space="preserve">Observed</w:t>
            </w:r>
          </w:p>
        </w:tc>
        <w:tc>
          <w:p>
            <w:pPr>
              <w:pStyle w:val="Compact"/>
              <w:jc w:val="left"/>
            </w:pPr>
            <w:r>
              <w:t xml:space="preserve">search result fixture and collection metadata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Generic OCR had poor reliability on a rendered third-party UI</w:t>
            </w:r>
          </w:p>
        </w:tc>
        <w:tc>
          <w:p>
            <w:pPr>
              <w:pStyle w:val="Compact"/>
              <w:jc w:val="left"/>
            </w:pPr>
            <w:r>
              <w:t xml:space="preserve">Observed</w:t>
            </w:r>
          </w:p>
        </w:tc>
        <w:tc>
          <w:p>
            <w:pPr>
              <w:pStyle w:val="Compact"/>
              <w:jc w:val="left"/>
            </w:pPr>
            <w:r>
              <w:t xml:space="preserve">private screenshots and OCR 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Application-native logging may offer a lower-risk observation channel</w:t>
            </w:r>
          </w:p>
        </w:tc>
        <w:tc>
          <w:p>
            <w:pPr>
              <w:pStyle w:val="Compact"/>
              <w:jc w:val="left"/>
            </w:pPr>
            <w:r>
              <w:t xml:space="preserve">Hypothesis</w:t>
            </w:r>
          </w:p>
        </w:tc>
        <w:tc>
          <w:p>
            <w:pPr>
              <w:pStyle w:val="Compact"/>
              <w:jc w:val="left"/>
            </w:pPr>
            <w:r>
              <w:t xml:space="preserve">redacted logs and controlled validation</w:t>
            </w:r>
          </w:p>
        </w:tc>
      </w:tr>
    </w:tbl>
    <w:bookmarkEnd w:id="43"/>
    <w:bookmarkStart w:id="44" w:name="metrics"/>
    <w:p>
      <w:pPr>
        <w:pStyle w:val="Heading2"/>
      </w:pPr>
      <w:r>
        <w:t xml:space="preserve">8.3 Metrics</w:t>
      </w:r>
    </w:p>
    <w:p>
      <w:pPr>
        <w:numPr>
          <w:ilvl w:val="0"/>
          <w:numId w:val="1004"/>
        </w:numPr>
        <w:pStyle w:val="Compact"/>
      </w:pPr>
      <w:r>
        <w:t xml:space="preserve">Task completion rate by task class.</w:t>
      </w:r>
    </w:p>
    <w:p>
      <w:pPr>
        <w:numPr>
          <w:ilvl w:val="0"/>
          <w:numId w:val="1004"/>
        </w:numPr>
        <w:pStyle w:val="Compact"/>
      </w:pPr>
      <w:r>
        <w:t xml:space="preserve">Tool-call success and error rate.</w:t>
      </w:r>
    </w:p>
    <w:p>
      <w:pPr>
        <w:numPr>
          <w:ilvl w:val="0"/>
          <w:numId w:val="1004"/>
        </w:numPr>
        <w:pStyle w:val="Compact"/>
      </w:pPr>
      <w:r>
        <w:t xml:space="preserve">Retrieval relevance assessed against human judgments.</w:t>
      </w:r>
    </w:p>
    <w:p>
      <w:pPr>
        <w:numPr>
          <w:ilvl w:val="0"/>
          <w:numId w:val="1004"/>
        </w:numPr>
        <w:pStyle w:val="Compact"/>
      </w:pPr>
      <w:r>
        <w:t xml:space="preserve">Latency, iterations, and token/cost usage.</w:t>
      </w:r>
    </w:p>
    <w:p>
      <w:pPr>
        <w:numPr>
          <w:ilvl w:val="0"/>
          <w:numId w:val="1004"/>
        </w:numPr>
        <w:pStyle w:val="Compact"/>
      </w:pPr>
      <w:r>
        <w:t xml:space="preserve">Policy refusal rate and false-refusal rate.</w:t>
      </w:r>
    </w:p>
    <w:p>
      <w:pPr>
        <w:numPr>
          <w:ilvl w:val="0"/>
          <w:numId w:val="1004"/>
        </w:numPr>
        <w:pStyle w:val="Compact"/>
      </w:pPr>
      <w:r>
        <w:t xml:space="preserve">Kill-switch response time.</w:t>
      </w:r>
    </w:p>
    <w:p>
      <w:pPr>
        <w:numPr>
          <w:ilvl w:val="0"/>
          <w:numId w:val="1004"/>
        </w:numPr>
        <w:pStyle w:val="Compact"/>
      </w:pPr>
      <w:r>
        <w:t xml:space="preserve">Audit-ledger verification rate.</w:t>
      </w:r>
    </w:p>
    <w:bookmarkEnd w:id="44"/>
    <w:bookmarkEnd w:id="45"/>
    <w:bookmarkStart w:id="51" w:name="zoraasi-implementation-roadmap"/>
    <w:p>
      <w:pPr>
        <w:pStyle w:val="Heading1"/>
      </w:pPr>
      <w:r>
        <w:t xml:space="preserve">9. ZoraASI Implementation Roadmap</w:t>
      </w:r>
    </w:p>
    <w:bookmarkStart w:id="46" w:name="phase-0-preservation"/>
    <w:p>
      <w:pPr>
        <w:pStyle w:val="Heading2"/>
      </w:pPr>
      <w:r>
        <w:t xml:space="preserve">Phase 0: Preservation</w:t>
      </w:r>
    </w:p>
    <w:p>
      <w:pPr>
        <w:pStyle w:val="FirstParagraph"/>
      </w:pPr>
      <w:r>
        <w:t xml:space="preserve">Initialize version control, protect secrets, classify artifacts, record environment details, and establish public/private repository separation.</w:t>
      </w:r>
    </w:p>
    <w:bookmarkEnd w:id="46"/>
    <w:bookmarkStart w:id="47" w:name="phase-1-reproducible-core"/>
    <w:p>
      <w:pPr>
        <w:pStyle w:val="Heading2"/>
      </w:pPr>
      <w:r>
        <w:t xml:space="preserve">Phase 1: Reproducible Core</w:t>
      </w:r>
    </w:p>
    <w:p>
      <w:pPr>
        <w:pStyle w:val="FirstParagraph"/>
      </w:pPr>
      <w:r>
        <w:t xml:space="preserve">Stabilize provider interfaces, agent loop, semantic memory, tests, documentation, and API contracts.</w:t>
      </w:r>
    </w:p>
    <w:bookmarkEnd w:id="47"/>
    <w:bookmarkStart w:id="48" w:name="phase-2-governed-autonomy"/>
    <w:p>
      <w:pPr>
        <w:pStyle w:val="Heading2"/>
      </w:pPr>
      <w:r>
        <w:t xml:space="preserve">Phase 2: Governed Autonomy</w:t>
      </w:r>
    </w:p>
    <w:p>
      <w:pPr>
        <w:pStyle w:val="FirstParagraph"/>
      </w:pPr>
      <w:r>
        <w:t xml:space="preserve">Implement permission scopes, task budgets, confirmation gates, append-only audit events, and a visible task control panel.</w:t>
      </w:r>
    </w:p>
    <w:bookmarkEnd w:id="48"/>
    <w:bookmarkStart w:id="49" w:name="phase-3-research-workflows"/>
    <w:p>
      <w:pPr>
        <w:pStyle w:val="Heading2"/>
      </w:pPr>
      <w:r>
        <w:t xml:space="preserve">Phase 3: Research Workflows</w:t>
      </w:r>
    </w:p>
    <w:p>
      <w:pPr>
        <w:pStyle w:val="FirstParagraph"/>
      </w:pPr>
      <w:r>
        <w:t xml:space="preserve">Evaluate supervised research, software, writing, and knowledge-management workflows against explicit success and failure criteria.</w:t>
      </w:r>
    </w:p>
    <w:bookmarkEnd w:id="49"/>
    <w:bookmarkStart w:id="50" w:name="phase-4-controlled-desktop-interaction"/>
    <w:p>
      <w:pPr>
        <w:pStyle w:val="Heading2"/>
      </w:pPr>
      <w:r>
        <w:t xml:space="preserve">Phase 4: Controlled Desktop Interaction</w:t>
      </w:r>
    </w:p>
    <w:p>
      <w:pPr>
        <w:pStyle w:val="FirstParagraph"/>
      </w:pPr>
      <w:r>
        <w:t xml:space="preserve">Evaluate an observe-only, then suggest-only, then confirmation-gated action interface in a dedicated sandbox. No third-party commercial service is used as an autonomous test environment.</w:t>
      </w:r>
    </w:p>
    <w:bookmarkEnd w:id="50"/>
    <w:bookmarkEnd w:id="51"/>
    <w:bookmarkStart w:id="52" w:name="release-criteria-for-v0.1"/>
    <w:p>
      <w:pPr>
        <w:pStyle w:val="Heading1"/>
      </w:pPr>
      <w:r>
        <w:t xml:space="preserve">10. Release Criteria for v0.1</w:t>
      </w:r>
    </w:p>
    <w:p>
      <w:pPr>
        <w:numPr>
          <w:ilvl w:val="0"/>
          <w:numId w:val="1005"/>
        </w:numPr>
        <w:pStyle w:val="Compact"/>
      </w:pPr>
      <w:r>
        <w:t xml:space="preserve">Test suite passes in a clean environment.</w:t>
      </w:r>
    </w:p>
    <w:p>
      <w:pPr>
        <w:numPr>
          <w:ilvl w:val="0"/>
          <w:numId w:val="1005"/>
        </w:numPr>
        <w:pStyle w:val="Compact"/>
      </w:pPr>
      <w:r>
        <w:t xml:space="preserve">Public repository contains no credentials or private artifacts.</w:t>
      </w:r>
    </w:p>
    <w:p>
      <w:pPr>
        <w:numPr>
          <w:ilvl w:val="0"/>
          <w:numId w:val="1005"/>
        </w:numPr>
        <w:pStyle w:val="Compact"/>
      </w:pPr>
      <w:r>
        <w:t xml:space="preserve">PDR, architecture, security policy, and citation metadata are present.</w:t>
      </w:r>
    </w:p>
    <w:p>
      <w:pPr>
        <w:numPr>
          <w:ilvl w:val="0"/>
          <w:numId w:val="1005"/>
        </w:numPr>
        <w:pStyle w:val="Compact"/>
      </w:pPr>
      <w:r>
        <w:t xml:space="preserve">Publication package compiles with the documented command sequence.</w:t>
      </w:r>
    </w:p>
    <w:p>
      <w:pPr>
        <w:numPr>
          <w:ilvl w:val="0"/>
          <w:numId w:val="1005"/>
        </w:numPr>
        <w:pStyle w:val="Compact"/>
      </w:pPr>
      <w:r>
        <w:t xml:space="preserve">Agent-loop behavior and semantic memory retrieval have reproducible fixtures.</w:t>
      </w:r>
    </w:p>
    <w:p>
      <w:pPr>
        <w:numPr>
          <w:ilvl w:val="0"/>
          <w:numId w:val="1005"/>
        </w:numPr>
        <w:pStyle w:val="Compact"/>
      </w:pPr>
      <w:r>
        <w:t xml:space="preserve">ZoraASI governance gaps are documented rather than implied to be solved.</w:t>
      </w:r>
    </w:p>
    <w:bookmarkEnd w:id="52"/>
    <w:bookmarkStart w:id="53" w:name="open-decisions"/>
    <w:p>
      <w:pPr>
        <w:pStyle w:val="Heading1"/>
      </w:pPr>
      <w:r>
        <w:t xml:space="preserve">11. Open Decisions</w:t>
      </w:r>
    </w:p>
    <w:p>
      <w:pPr>
        <w:numPr>
          <w:ilvl w:val="0"/>
          <w:numId w:val="1006"/>
        </w:numPr>
        <w:pStyle w:val="Compact"/>
      </w:pPr>
      <w:r>
        <w:t xml:space="preserve">Select a public code license.</w:t>
      </w:r>
    </w:p>
    <w:p>
      <w:pPr>
        <w:numPr>
          <w:ilvl w:val="0"/>
          <w:numId w:val="1006"/>
        </w:numPr>
        <w:pStyle w:val="Compact"/>
      </w:pPr>
      <w:r>
        <w:t xml:space="preserve">Define the operator authentication model.</w:t>
      </w:r>
    </w:p>
    <w:p>
      <w:pPr>
        <w:numPr>
          <w:ilvl w:val="0"/>
          <w:numId w:val="1006"/>
        </w:numPr>
        <w:pStyle w:val="Compact"/>
      </w:pPr>
      <w:r>
        <w:t xml:space="preserve">Select private evidence repository retention and encryption policy.</w:t>
      </w:r>
    </w:p>
    <w:p>
      <w:pPr>
        <w:numPr>
          <w:ilvl w:val="0"/>
          <w:numId w:val="1006"/>
        </w:numPr>
        <w:pStyle w:val="Compact"/>
      </w:pPr>
      <w:r>
        <w:t xml:space="preserve">Establish a daily financial and compute budget.</w:t>
      </w:r>
    </w:p>
    <w:p>
      <w:pPr>
        <w:numPr>
          <w:ilvl w:val="0"/>
          <w:numId w:val="1006"/>
        </w:numPr>
        <w:pStyle w:val="Compact"/>
      </w:pPr>
      <w:r>
        <w:t xml:space="preserve">Select an approved sandbox for desktop-agent evaluation.</w:t>
      </w:r>
    </w:p>
    <w:p>
      <w:pPr>
        <w:numPr>
          <w:ilvl w:val="0"/>
          <w:numId w:val="1006"/>
        </w:numPr>
        <w:pStyle w:val="Compact"/>
      </w:pPr>
      <w:r>
        <w:t xml:space="preserve">Define independent review and incident-response procedures.</w:t>
      </w:r>
    </w:p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ZoraOS Product Design Requirements</dc:title>
  <dc:creator>Christopher Michael Baird</dc:creator>
  <cp:keywords/>
  <dcterms:created xsi:type="dcterms:W3CDTF">2026-07-20T23:40:32Z</dcterms:created>
  <dcterms:modified xsi:type="dcterms:W3CDTF">2026-07-20T23:40:32Z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2026-07-20</vt:lpwstr>
  </property>
  <property fmtid="{D5CDD505-2E9C-101B-9397-08002B2CF9AE}" pid="3" name="subtitle">
    <vt:lpwstr>Persistent, Model-Agnostic, Governed Tool-Using Agents</vt:lpwstr>
  </property>
  <property fmtid="{D5CDD505-2E9C-101B-9397-08002B2CF9AE}" pid="4" name="version">
    <vt:lpwstr>0.1</vt:lpwstr>
  </property>
</Properties>
</file>